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1A29"/>
          <w:sz w:val="44"/>
          <w:szCs w:val="44"/>
        </w:rPr>
        <w:t xml:space="preserve">FORESIGHT</w:t>
      </w:r>
    </w:p>
    <w:p>
      <w:pPr>
        <w:spacing w:after="40"/>
      </w:pPr>
      <w:r>
        <w:rPr>
          <w:b/>
          <w:bCs/>
          <w:color w:val="1F6F68"/>
          <w:sz w:val="30"/>
          <w:szCs w:val="30"/>
        </w:rPr>
        <w:t xml:space="preserve">Foresight at a Glance</w:t>
      </w:r>
    </w:p>
    <w:p>
      <w:pPr>
        <w:spacing w:after="60"/>
      </w:pPr>
      <w:r>
        <w:rPr>
          <w:i/>
          <w:iCs/>
          <w:color w:val="55606B"/>
          <w:sz w:val="22"/>
          <w:szCs w:val="22"/>
        </w:rPr>
        <w:t xml:space="preserve">Operational Decision Intelligence — Project Overview</w:t>
      </w:r>
    </w:p>
    <w:p>
      <w:pPr>
        <w:shd w:fill="DCEEEB" w:val="clear"/>
        <w:spacing w:after="260"/>
      </w:pPr>
      <w:r>
        <w:rPr>
          <w:rFonts w:ascii="Consolas" w:cs="Consolas" w:eastAsia="Consolas" w:hAnsi="Consolas"/>
          <w:b/>
          <w:bCs/>
          <w:color w:val="1F6F68"/>
          <w:sz w:val="15"/>
          <w:szCs w:val="15"/>
        </w:rPr>
        <w:t xml:space="preserve">PRE-DEVELOPMENT</w:t>
      </w:r>
    </w:p>
    <w:p>
      <w:pPr>
        <w:spacing w:after="120"/>
      </w:pPr>
      <w:r>
        <w:rPr>
          <w:color w:val="55606B"/>
          <w:sz w:val="20"/>
          <w:szCs w:val="20"/>
        </w:rPr>
        <w:t xml:space="preserve">A one-page walkthrough of what we're building, why it matters, and how it's different. Built for a five-minute read, not a sit-down.</w:t>
      </w:r>
    </w:p>
    <w:p>
      <w:pPr>
        <w:spacing w:after="160"/>
      </w:pPr>
    </w:p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01 — THE PROBLEM</w:t>
      </w:r>
    </w:p>
    <w:p>
      <w:pPr>
        <w:pStyle w:val="Heading1"/>
        <w:spacing w:after="140" w:before="40"/>
      </w:pPr>
      <w:r>
        <w:t xml:space="preserve">Most business tools are rear-view mirrors.</w:t>
      </w:r>
    </w:p>
    <w:p>
      <w:pPr>
        <w:spacing w:after="200"/>
      </w:pPr>
      <w:r>
        <w:rPr>
          <w:color w:val="121A29"/>
          <w:sz w:val="22"/>
          <w:szCs w:val="22"/>
        </w:rPr>
        <w:t xml:space="preserve">They're excellent at telling a team what already went wrong. Almost none of them tell a team what's about to.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F5DFDD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B23B34"/>
                <w:sz w:val="14"/>
                <w:szCs w:val="14"/>
              </w:rPr>
              <w:t xml:space="preserve">REACTIVE</w:t>
            </w:r>
          </w:p>
          <w:p>
            <w:r>
              <w:rPr>
                <w:b/>
                <w:bCs/>
                <w:color w:val="121A29"/>
                <w:sz w:val="20"/>
                <w:szCs w:val="20"/>
              </w:rPr>
              <w:t xml:space="preserve">Today's dashboard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Shows the stockout after it happens. The report is correct — and three weeks too late to act on.</w:t>
            </w:r>
          </w:p>
        </w:tc>
        <w:tc>
          <w:tcPr>
            <w:tcW w:type="dxa" w:w="45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DCEEEB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1F6F68"/>
                <w:sz w:val="14"/>
                <w:szCs w:val="14"/>
              </w:rPr>
              <w:t xml:space="preserve">EARLY WARNING</w:t>
            </w:r>
          </w:p>
          <w:p>
            <w:r>
              <w:rPr>
                <w:b/>
                <w:bCs/>
                <w:color w:val="121A29"/>
                <w:sz w:val="20"/>
                <w:szCs w:val="20"/>
              </w:rPr>
              <w:t xml:space="preserve">Foresight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Notices the drift while it's forming, explains why, and suggests a next move — while there's still time to act.</w:t>
            </w:r>
          </w:p>
        </w:tc>
      </w:tr>
    </w:tbl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02 — HOW IT WORKS</w:t>
      </w:r>
    </w:p>
    <w:p>
      <w:pPr>
        <w:pStyle w:val="Heading1"/>
        <w:spacing w:after="140" w:before="40"/>
      </w:pPr>
      <w:r>
        <w:t xml:space="preserve">One loop, running quietly every day.</w:t>
      </w:r>
    </w:p>
    <w:p>
      <w:pPr>
        <w:spacing w:after="200"/>
      </w:pPr>
      <w:r>
        <w:rPr>
          <w:color w:val="121A29"/>
          <w:sz w:val="22"/>
          <w:szCs w:val="22"/>
        </w:rPr>
        <w:t xml:space="preserve">Data comes in. The system watches, explains, and suggests. A person decides. The system remembers what happened and checks its own homework.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80"/>
        <w:gridCol w:w="1750"/>
        <w:gridCol w:w="380"/>
        <w:gridCol w:w="1750"/>
        <w:gridCol w:w="380"/>
        <w:gridCol w:w="1750"/>
        <w:gridCol w:w="380"/>
        <w:gridCol w:w="1930"/>
      </w:tblGrid>
      <w:tr>
        <w:tc>
          <w:tcPr>
            <w:tcW w:type="dxa" w:w="175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9"/>
                <w:szCs w:val="19"/>
              </w:rPr>
              <w:t xml:space="preserve">1. Data in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Spreadsheet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upload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175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9"/>
                <w:szCs w:val="19"/>
              </w:rPr>
              <w:t xml:space="preserve">2. Detect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Something looks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off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175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9"/>
                <w:szCs w:val="19"/>
              </w:rPr>
              <w:t xml:space="preserve">3. Explain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Why, with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evidence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175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9"/>
                <w:szCs w:val="19"/>
              </w:rPr>
              <w:t xml:space="preserve">4. Recommend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One clear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next step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1750"/>
            <w:tcBorders>
              <w:top w:val="single" w:color="1F6F68" w:sz="4"/>
              <w:left w:val="single" w:color="1F6F68" w:sz="4"/>
              <w:bottom w:val="single" w:color="1F6F68" w:sz="4"/>
              <w:right w:val="single" w:color="1F6F68" w:sz="4"/>
            </w:tcBorders>
            <w:shd w:fill="DCEE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9"/>
                <w:szCs w:val="19"/>
              </w:rPr>
              <w:t xml:space="preserve">5. Human decides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Approve / snooze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/ skip — never automatic</w:t>
            </w:r>
          </w:p>
        </w:tc>
      </w:tr>
    </w:tbl>
    <w:p>
      <w:pPr>
        <w:pBdr>
          <w:left w:val="single" w:color="1F6F68" w:sz="18" w:space="8"/>
        </w:pBdr>
        <w:shd w:fill="DCEEEB" w:val="clear"/>
        <w:spacing w:after="100" w:before="160"/>
      </w:pPr>
      <w:r>
        <w:rPr>
          <w:b/>
          <w:bCs/>
          <w:color w:val="1F6F68"/>
          <w:sz w:val="19"/>
          <w:szCs w:val="19"/>
        </w:rPr>
        <w:t xml:space="preserve">↻  Step 6 — Track outcome: </w:t>
      </w:r>
      <w:r>
        <w:rPr>
          <w:color w:val="55606B"/>
          <w:sz w:val="19"/>
          <w:szCs w:val="19"/>
        </w:rPr>
        <w:t xml:space="preserve">the system checks back later on whether its own recommendation actually helped, and feeds that back into the loop.</w:t>
      </w:r>
    </w:p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03 — A REAL EXAMPLE</w:t>
      </w:r>
    </w:p>
    <w:p>
      <w:pPr>
        <w:pStyle w:val="Heading1"/>
        <w:spacing w:after="140" w:before="40"/>
      </w:pPr>
      <w:r>
        <w:t xml:space="preserve">A supplier that's quietly slipping.</w:t>
      </w:r>
    </w:p>
    <w:p>
      <w:pPr>
        <w:spacing w:after="120"/>
      </w:pPr>
      <w:r>
        <w:rPr>
          <w:color w:val="55606B"/>
          <w:sz w:val="20"/>
          <w:szCs w:val="20"/>
        </w:rPr>
        <w:t xml:space="preserve">A furniture company's frame supplier has been reliable for two years. Over six weeks, deliveries start landing later and later — too gradual for anyone to flag by hand.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0.5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0.7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0.9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2.2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3.6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7"/>
                <w:szCs w:val="17"/>
              </w:rPr>
              <w:t xml:space="preserve">5.0 d late</w:t>
            </w:r>
          </w:p>
        </w:tc>
        <w:tc>
          <w:tcPr>
            <w:tcW w:type="dxa" w:w="1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F5E7D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B8752A"/>
                <w:sz w:val="17"/>
                <w:szCs w:val="17"/>
              </w:rPr>
              <w:t xml:space="preserve">⚠ Flagged wk 4</w:t>
            </w:r>
          </w:p>
        </w:tc>
      </w:tr>
    </w:tbl>
    <w:p>
      <w:pPr>
        <w:pBdr>
          <w:left w:val="single" w:color="1F6F68" w:sz="18" w:space="8"/>
        </w:pBdr>
        <w:shd w:fill="EAEDEB" w:val="clear"/>
        <w:spacing w:after="100" w:before="160"/>
      </w:pPr>
      <w:r>
        <w:rPr>
          <w:i/>
          <w:iCs/>
          <w:color w:val="121A29"/>
          <w:sz w:val="19"/>
          <w:szCs w:val="19"/>
        </w:rPr>
        <w:t xml:space="preserve">“This supplier's lead time has risen for weeks. At this rate, you're likely to stock out soon. Consider an early reorder or a backup supplier.”</w:t>
      </w:r>
    </w:p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04 — WHAT MAKES IT DIFFERENT</w:t>
      </w:r>
    </w:p>
    <w:p>
      <w:pPr>
        <w:pStyle w:val="Heading1"/>
        <w:spacing w:after="140" w:before="40"/>
      </w:pPr>
      <w:r>
        <w:t xml:space="preserve">Not trying to out-enterprise the enterprises.</w:t>
      </w:r>
    </w:p>
    <w:p>
      <w:pPr>
        <w:spacing w:after="200"/>
      </w:pPr>
      <w:r>
        <w:rPr>
          <w:color w:val="121A29"/>
          <w:sz w:val="22"/>
          <w:szCs w:val="22"/>
        </w:rPr>
        <w:t xml:space="preserve">The big decision-intelligence vendors (IBM, SAS, Oracle, FICO) build for huge companies with big IT teams and long contracts. We're deliberately built for the team that has neither.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30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Typical enterprise platform</w:t>
            </w:r>
          </w:p>
        </w:tc>
        <w:tc>
          <w:tcPr>
            <w:tcW w:type="dxa" w:w="30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121A29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Foresight</w:t>
            </w:r>
          </w:p>
        </w:tc>
      </w:tr>
      <w:tr>
        <w:tc>
          <w:tcPr>
            <w:tcW w:type="dxa" w:w="26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EAED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Getting started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7C8792"/>
                <w:sz w:val="18"/>
                <w:szCs w:val="18"/>
              </w:rPr>
              <w:t xml:space="preserve">Months of setup, systems integration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8"/>
                <w:szCs w:val="18"/>
              </w:rPr>
              <w:t xml:space="preserve">Upload a spreadsheet, start today</w:t>
            </w:r>
          </w:p>
        </w:tc>
      </w:tr>
      <w:tr>
        <w:tc>
          <w:tcPr>
            <w:tcW w:type="dxa" w:w="26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EAED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How it explains itself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7C8792"/>
                <w:sz w:val="18"/>
                <w:szCs w:val="18"/>
              </w:rPr>
              <w:t xml:space="preserve">“Trust the model”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8"/>
                <w:szCs w:val="18"/>
              </w:rPr>
              <w:t xml:space="preserve">Shows the simple math next to the fancy math</w:t>
            </w:r>
          </w:p>
        </w:tc>
      </w:tr>
      <w:tr>
        <w:tc>
          <w:tcPr>
            <w:tcW w:type="dxa" w:w="26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EAED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After a recommendation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7C8792"/>
                <w:sz w:val="18"/>
                <w:szCs w:val="18"/>
              </w:rPr>
              <w:t xml:space="preserve">Rarely checks back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8"/>
                <w:szCs w:val="18"/>
              </w:rPr>
              <w:t xml:space="preserve">Tracks whether its own advice actually helped</w:t>
            </w:r>
          </w:p>
        </w:tc>
      </w:tr>
      <w:tr>
        <w:tc>
          <w:tcPr>
            <w:tcW w:type="dxa" w:w="26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shd w:fill="EAED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Who it's built for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7C8792"/>
                <w:sz w:val="18"/>
                <w:szCs w:val="18"/>
              </w:rPr>
              <w:t xml:space="preserve">Enterprise procurement teams</w:t>
            </w:r>
          </w:p>
        </w:tc>
        <w:tc>
          <w:tcPr>
            <w:tcW w:type="dxa" w:w="34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40"/>
            </w:pPr>
            <w:r>
              <w:rPr>
                <w:color w:val="121A29"/>
                <w:sz w:val="18"/>
                <w:szCs w:val="18"/>
              </w:rPr>
              <w:t xml:space="preserve">Small &amp; mid-sized operations teams</w:t>
            </w:r>
          </w:p>
        </w:tc>
      </w:tr>
    </w:tbl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05 — UNDER THE HOOD, KEPT HONEST</w:t>
      </w:r>
    </w:p>
    <w:p>
      <w:pPr>
        <w:pStyle w:val="Heading1"/>
        <w:spacing w:after="140" w:before="40"/>
      </w:pPr>
      <w:r>
        <w:t xml:space="preserve">Fancy to look at. Simple underneath — on purpose.</w:t>
      </w:r>
    </w:p>
    <w:p>
      <w:pPr>
        <w:spacing w:after="200"/>
      </w:pPr>
      <w:r>
        <w:rPr>
          <w:color w:val="121A29"/>
          <w:sz w:val="22"/>
          <w:szCs w:val="22"/>
        </w:rPr>
        <w:t xml:space="preserve">No paid AI black box making the call. Plain statistics and classical models that can always show their 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0"/>
        <w:gridCol w:w="3460"/>
        <w:gridCol w:w="500"/>
        <w:gridCol w:w="2500"/>
      </w:tblGrid>
      <w:tr>
        <w:tc>
          <w:tcPr>
            <w:tcW w:type="dxa" w:w="27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Your data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Orders, inventory,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supplier history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3460"/>
            <w:tcBorders>
              <w:top w:val="single" w:color="1F6F68" w:sz="4"/>
              <w:left w:val="single" w:color="1F6F68" w:sz="4"/>
              <w:bottom w:val="single" w:color="1F6F68" w:sz="4"/>
              <w:right w:val="single" w:color="1F6F68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Plain math &amp; rules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Averages, thresholds,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baseline forecasts</w:t>
            </w:r>
          </w:p>
          <w:p>
            <w:pPr>
              <w:shd w:fill="DCEEEB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1F6F68"/>
                <w:sz w:val="14"/>
                <w:szCs w:val="14"/>
              </w:rPr>
              <w:t xml:space="preserve">NO PAID AI REQUIRED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color w:val="7C8792"/>
                <w:sz w:val="24"/>
                <w:szCs w:val="24"/>
              </w:rPr>
              <w:t xml:space="preserve">→</w:t>
            </w:r>
          </w:p>
        </w:tc>
        <w:tc>
          <w:tcPr>
            <w:tcW w:type="dxa" w:w="250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Plain-English answer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What, why,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what to do</w:t>
            </w:r>
          </w:p>
        </w:tc>
      </w:tr>
    </w:tbl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06 — WHERE THIS GOES</w:t>
      </w:r>
    </w:p>
    <w:p>
      <w:pPr>
        <w:pStyle w:val="Heading1"/>
        <w:spacing w:after="140" w:before="40"/>
      </w:pPr>
      <w:r>
        <w:t xml:space="preserve">Prove one thing well, then branch out.</w:t>
      </w:r>
    </w:p>
    <w:p>
      <w:pPr>
        <w:spacing w:after="120"/>
      </w:pPr>
      <w:r>
        <w:rPr>
          <w:color w:val="55606B"/>
          <w:sz w:val="20"/>
          <w:szCs w:val="20"/>
        </w:rPr>
        <w:t xml:space="preserve">Start: Supplier &amp; inventory risk (this MVP).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signal types — pricing, demand, SLAs (later)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teams — sales ops, procurement (later)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industries — once one wedge proves out (later)</w:t>
      </w:r>
    </w:p>
    <w:p>
      <w:pPr>
        <w:spacing w:after="60" w:before="400"/>
      </w:pPr>
      <w:r>
        <w:rPr>
          <w:rFonts w:ascii="Consolas" w:cs="Consolas" w:eastAsia="Consolas" w:hAnsi="Consolas"/>
          <w:b/>
          <w:bCs/>
          <w:color w:val="1F6F68"/>
          <w:sz w:val="16"/>
          <w:szCs w:val="16"/>
        </w:rPr>
        <w:t xml:space="preserve">07 — TIMELINE AT A GLANCE</w:t>
      </w:r>
    </w:p>
    <w:p>
      <w:pPr>
        <w:pStyle w:val="Heading1"/>
        <w:spacing w:after="140" w:before="40"/>
      </w:pPr>
      <w:r>
        <w:t xml:space="preserve">Four phases, roughly ten weeks.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FFFFFF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7C8792"/>
                <w:sz w:val="14"/>
                <w:szCs w:val="14"/>
              </w:rPr>
              <w:t xml:space="preserve">WK 1–2</w:t>
            </w:r>
          </w:p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Foundation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Pick the data, build the pipeline.</w:t>
            </w:r>
          </w:p>
        </w:tc>
        <w:tc>
          <w:tcPr>
            <w:tcW w:type="dxa" w:w="234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FFFFFF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7C8792"/>
                <w:sz w:val="14"/>
                <w:szCs w:val="14"/>
              </w:rPr>
              <w:t xml:space="preserve">WK 3–5</w:t>
            </w:r>
          </w:p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Intelligence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Detection, forecasting, recommendations.</w:t>
            </w:r>
          </w:p>
        </w:tc>
        <w:tc>
          <w:tcPr>
            <w:tcW w:type="dxa" w:w="234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FFFFFF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7C8792"/>
                <w:sz w:val="14"/>
                <w:szCs w:val="14"/>
              </w:rPr>
              <w:t xml:space="preserve">WK 6–8</w:t>
            </w:r>
          </w:p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Product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Access flow, command-center UI, outcomes.</w:t>
            </w:r>
          </w:p>
        </w:tc>
        <w:tc>
          <w:tcPr>
            <w:tcW w:type="dxa" w:w="2340"/>
            <w:tcBorders>
              <w:top w:val="single" w:color="DBE1DE" w:sz="4"/>
              <w:left w:val="single" w:color="DBE1DE" w:sz="4"/>
              <w:bottom w:val="single" w:color="DBE1DE" w:sz="4"/>
              <w:right w:val="single" w:color="DBE1DE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hd w:fill="FFFFFF" w:val="clear"/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7C8792"/>
                <w:sz w:val="14"/>
                <w:szCs w:val="14"/>
              </w:rPr>
              <w:t xml:space="preserve">WK 9–10</w:t>
            </w:r>
          </w:p>
          <w:p>
            <w:r>
              <w:rPr>
                <w:b/>
                <w:bCs/>
                <w:color w:val="121A29"/>
                <w:sz w:val="18"/>
                <w:szCs w:val="18"/>
              </w:rPr>
              <w:t xml:space="preserve">Polish &amp; demo</w:t>
            </w:r>
          </w:p>
          <w:p>
            <w:pPr>
              <w:spacing w:before="40"/>
            </w:pPr>
            <w:r>
              <w:rPr>
                <w:color w:val="55606B"/>
                <w:sz w:val="17"/>
                <w:szCs w:val="17"/>
              </w:rPr>
              <w:t xml:space="preserve">Motion, tests, walkthrough, case study.</w:t>
            </w:r>
          </w:p>
        </w:tc>
      </w:tr>
    </w:tbl>
    <w:p>
      <w:pPr>
        <w:spacing w:after="300"/>
      </w:pPr>
    </w:p>
    <w:p>
      <w:r>
        <w:rPr>
          <w:i/>
          <w:iCs/>
          <w:color w:val="7C8792"/>
          <w:sz w:val="16"/>
          <w:szCs w:val="16"/>
        </w:rPr>
        <w:t xml:space="preserve">Prepared as a planning overview. No application code written yet — concept and direction only.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2026-09-07T17:06:11.145Z</dcterms:created>
  <dcterms:modified xsi:type="dcterms:W3CDTF">2026-09-07T17:06:11.147Z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