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Architecture: Credit Decisioning Microservice</w:t>
      </w:r>
    </w:p>
    <w:p>
      <w:pPr>
        <w:pStyle w:val="Heading1"/>
      </w:pPr>
      <w:r>
        <w:t>1. Executive Summary</w:t>
      </w:r>
    </w:p>
    <w:p>
      <w:r>
        <w:t>The Credit Decisioning Microservice acts as the central brain for the automated underwriting and credit line increase (CLI) workflows. Its primary purpose is to assess customer risk profiles instantaneously and return a mathematically sound decision on whether to extend, maintain, or reduce credit limits.</w:t>
      </w:r>
    </w:p>
    <w:p>
      <w:r>
        <w:t>By migrating to a dedicated microservice, the business aims to achieve a straight-through processing (STP) rate of over 85%, significantly reducing manual underwriting costs while adhering strictly to Fair Lending regulations. This underwriting engine is core to our credit line increase strategy during the new financial year.</w:t>
      </w:r>
    </w:p>
    <w:p>
      <w:pPr>
        <w:pStyle w:val="Heading1"/>
      </w:pPr>
      <w:r>
        <w:t>2. Core Business Use Cases</w:t>
      </w:r>
    </w:p>
    <w:p>
      <w:pPr>
        <w:pStyle w:val="Heading2"/>
      </w:pPr>
      <w:r>
        <w:t>2.1 Credit Line Increase (CLI) Origination</w:t>
      </w:r>
    </w:p>
    <w:p>
      <w:r>
        <w:t>Customers can request a credit line increase via the mobile app or web portal. This triggers a real-time call to the Decisioning Engine. The engine pulls data from internal payment histories, external bureau files, and income verification modules to approve or decline the CLI instantly.</w:t>
      </w:r>
    </w:p>
    <w:p>
      <w:pPr>
        <w:pStyle w:val="Heading2"/>
      </w:pPr>
      <w:r>
        <w:t>2.2 Automated Risk Mitigation</w:t>
      </w:r>
    </w:p>
    <w:p>
      <w:r>
        <w:t>During economic downturns, the microservice actively runs batch rules against high-risk portfolios to proactively decrease exposure before defaults occur. It acts as an autonomous risk-adjustment layer.</w:t>
      </w:r>
    </w:p>
    <w:p>
      <w:pPr>
        <w:pStyle w:val="Heading1"/>
      </w:pPr>
      <w:r>
        <w:t>3. The Underwriting Funnel</w:t>
      </w:r>
    </w:p>
    <w:p>
      <w:r>
        <w:t>1. Data Aggregation: Internal and external APIs supply the applicant context.</w:t>
        <w:br/>
        <w:t>2. Knockout Rules: Immediate failure criteria (e.g. bankruptcies in last 12 months, age &lt; 18).</w:t>
        <w:br/>
        <w:t>3. Scoring: ML model applies a custom credit score (Internal Risk Score).</w:t>
        <w:br/>
        <w:t>4. Limit Assignment: Based on risk brackets, the system assigns a dynamic credit ceiling.</w:t>
        <w:br/>
        <w:t>5. Manual Review Fallback: Marginal cases drop into a queue for human underwriters.</w:t>
      </w:r>
    </w:p>
    <w:p>
      <w:pPr>
        <w:pStyle w:val="Heading1"/>
      </w:pPr>
      <w:r>
        <w:t>4. Compliance and Auditability</w:t>
      </w:r>
    </w:p>
    <w:p>
      <w:r>
        <w:t>Every decision yields a unique trace ID linking the exact rules, bureau scores, and timestamps used. This guarantees complete explainability for adverse action notices (FCRA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