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95E95" w14:textId="77777777" w:rsidR="00710C56" w:rsidRPr="006862EB" w:rsidRDefault="00710C56">
      <w:pPr>
        <w:spacing w:before="1600"/>
        <w:rPr>
          <w:rFonts w:ascii="Times New Roman" w:hAnsi="Times New Roman" w:cs="Times New Roman"/>
        </w:rPr>
      </w:pPr>
    </w:p>
    <w:p w14:paraId="3DBE69C6" w14:textId="77777777" w:rsidR="00710C56" w:rsidRPr="006862EB" w:rsidRDefault="00000000">
      <w:pPr>
        <w:spacing w:after="100"/>
        <w:jc w:val="center"/>
        <w:rPr>
          <w:rFonts w:ascii="Times New Roman" w:hAnsi="Times New Roman" w:cs="Times New Roman"/>
          <w:sz w:val="48"/>
          <w:szCs w:val="48"/>
        </w:rPr>
      </w:pPr>
      <w:r w:rsidRPr="006862EB">
        <w:rPr>
          <w:rFonts w:ascii="Times New Roman" w:hAnsi="Times New Roman" w:cs="Times New Roman"/>
          <w:b/>
          <w:bCs/>
          <w:color w:val="1F4E79"/>
          <w:sz w:val="48"/>
          <w:szCs w:val="48"/>
        </w:rPr>
        <w:t>BLUESTOCK MUTUAL FUND ANALYSIS</w:t>
      </w:r>
    </w:p>
    <w:p w14:paraId="4CEC9D48" w14:textId="77777777" w:rsidR="00710C56" w:rsidRPr="006862EB" w:rsidRDefault="00000000">
      <w:pPr>
        <w:spacing w:after="800"/>
        <w:jc w:val="center"/>
        <w:rPr>
          <w:rFonts w:ascii="Times New Roman" w:hAnsi="Times New Roman" w:cs="Times New Roman"/>
          <w:sz w:val="48"/>
          <w:szCs w:val="48"/>
        </w:rPr>
      </w:pPr>
      <w:r w:rsidRPr="006862EB">
        <w:rPr>
          <w:rFonts w:ascii="Times New Roman" w:hAnsi="Times New Roman" w:cs="Times New Roman"/>
          <w:i/>
          <w:iCs/>
          <w:color w:val="2E75B6"/>
          <w:sz w:val="48"/>
          <w:szCs w:val="48"/>
        </w:rPr>
        <w:t>Capstone Project Report</w:t>
      </w:r>
    </w:p>
    <w:p w14:paraId="2C5AB085" w14:textId="77777777" w:rsidR="00710C56" w:rsidRPr="006862EB" w:rsidRDefault="00000000">
      <w:pPr>
        <w:spacing w:after="80"/>
        <w:jc w:val="center"/>
        <w:rPr>
          <w:rFonts w:ascii="Times New Roman" w:hAnsi="Times New Roman" w:cs="Times New Roman"/>
          <w:sz w:val="44"/>
          <w:szCs w:val="44"/>
        </w:rPr>
      </w:pPr>
      <w:r w:rsidRPr="006862EB">
        <w:rPr>
          <w:rFonts w:ascii="Times New Roman" w:hAnsi="Times New Roman" w:cs="Times New Roman"/>
          <w:sz w:val="44"/>
          <w:szCs w:val="44"/>
        </w:rPr>
        <w:t>Submitted By</w:t>
      </w:r>
    </w:p>
    <w:p w14:paraId="2E329E3B" w14:textId="77777777" w:rsidR="00710C56" w:rsidRPr="006862EB" w:rsidRDefault="00000000">
      <w:pPr>
        <w:spacing w:after="400"/>
        <w:jc w:val="center"/>
        <w:rPr>
          <w:rFonts w:ascii="Times New Roman" w:hAnsi="Times New Roman" w:cs="Times New Roman"/>
          <w:sz w:val="44"/>
          <w:szCs w:val="44"/>
        </w:rPr>
      </w:pPr>
      <w:r w:rsidRPr="006862EB">
        <w:rPr>
          <w:rFonts w:ascii="Times New Roman" w:hAnsi="Times New Roman" w:cs="Times New Roman"/>
          <w:b/>
          <w:bCs/>
          <w:sz w:val="44"/>
          <w:szCs w:val="44"/>
        </w:rPr>
        <w:t>J. Lakshman Chowdary</w:t>
      </w:r>
    </w:p>
    <w:p w14:paraId="66ED14F3" w14:textId="77777777" w:rsidR="00710C56" w:rsidRPr="006862EB" w:rsidRDefault="00000000">
      <w:pPr>
        <w:spacing w:after="80"/>
        <w:jc w:val="center"/>
        <w:rPr>
          <w:rFonts w:ascii="Times New Roman" w:hAnsi="Times New Roman" w:cs="Times New Roman"/>
          <w:sz w:val="44"/>
          <w:szCs w:val="44"/>
        </w:rPr>
      </w:pPr>
      <w:proofErr w:type="spellStart"/>
      <w:proofErr w:type="gramStart"/>
      <w:r w:rsidRPr="006862EB">
        <w:rPr>
          <w:rFonts w:ascii="Times New Roman" w:hAnsi="Times New Roman" w:cs="Times New Roman"/>
          <w:sz w:val="44"/>
          <w:szCs w:val="44"/>
        </w:rPr>
        <w:t>B.Tech</w:t>
      </w:r>
      <w:proofErr w:type="spellEnd"/>
      <w:proofErr w:type="gramEnd"/>
      <w:r w:rsidRPr="006862EB">
        <w:rPr>
          <w:rFonts w:ascii="Times New Roman" w:hAnsi="Times New Roman" w:cs="Times New Roman"/>
          <w:sz w:val="44"/>
          <w:szCs w:val="44"/>
        </w:rPr>
        <w:t xml:space="preserve"> – Information Technology</w:t>
      </w:r>
    </w:p>
    <w:p w14:paraId="30498E1D" w14:textId="77777777" w:rsidR="00710C56" w:rsidRPr="006862EB" w:rsidRDefault="00000000">
      <w:pPr>
        <w:spacing w:after="800"/>
        <w:jc w:val="center"/>
        <w:rPr>
          <w:rFonts w:ascii="Times New Roman" w:hAnsi="Times New Roman" w:cs="Times New Roman"/>
          <w:sz w:val="44"/>
          <w:szCs w:val="44"/>
        </w:rPr>
      </w:pPr>
      <w:r w:rsidRPr="006862EB">
        <w:rPr>
          <w:rFonts w:ascii="Times New Roman" w:hAnsi="Times New Roman" w:cs="Times New Roman"/>
          <w:sz w:val="44"/>
          <w:szCs w:val="44"/>
        </w:rPr>
        <w:t>Prasad V. Potluri Siddhartha Institute of Technology (PVPSIT)</w:t>
      </w:r>
    </w:p>
    <w:p w14:paraId="5A876468" w14:textId="77777777" w:rsidR="00710C56" w:rsidRPr="006862EB" w:rsidRDefault="00000000">
      <w:pPr>
        <w:jc w:val="center"/>
        <w:rPr>
          <w:rFonts w:ascii="Times New Roman" w:hAnsi="Times New Roman" w:cs="Times New Roman"/>
          <w:sz w:val="44"/>
          <w:szCs w:val="44"/>
        </w:rPr>
      </w:pPr>
      <w:r w:rsidRPr="006862EB">
        <w:rPr>
          <w:rFonts w:ascii="Times New Roman" w:hAnsi="Times New Roman" w:cs="Times New Roman"/>
          <w:b/>
          <w:bCs/>
          <w:color w:val="2E75B6"/>
          <w:sz w:val="44"/>
          <w:szCs w:val="44"/>
        </w:rPr>
        <w:t>Academic Year 2025–2026</w:t>
      </w:r>
    </w:p>
    <w:p w14:paraId="1723CEB6" w14:textId="77777777" w:rsidR="00710C56" w:rsidRPr="006862EB" w:rsidRDefault="00000000">
      <w:pPr>
        <w:rPr>
          <w:rFonts w:ascii="Times New Roman" w:hAnsi="Times New Roman" w:cs="Times New Roman"/>
        </w:rPr>
      </w:pPr>
      <w:r w:rsidRPr="006862EB">
        <w:rPr>
          <w:rFonts w:ascii="Times New Roman" w:hAnsi="Times New Roman" w:cs="Times New Roman"/>
        </w:rPr>
        <w:br w:type="page"/>
      </w:r>
    </w:p>
    <w:p w14:paraId="53BDE94B" w14:textId="77777777" w:rsidR="00710C56" w:rsidRPr="006862EB" w:rsidRDefault="00000000">
      <w:pPr>
        <w:pStyle w:val="Heading1"/>
        <w:pBdr>
          <w:bottom w:val="single" w:sz="6" w:space="4" w:color="2E75B6"/>
        </w:pBdr>
        <w:rPr>
          <w:rFonts w:ascii="Times New Roman" w:hAnsi="Times New Roman" w:cs="Times New Roman"/>
        </w:rPr>
      </w:pPr>
      <w:bookmarkStart w:id="0" w:name="_Toc234529041"/>
      <w:r w:rsidRPr="006862EB">
        <w:rPr>
          <w:rFonts w:ascii="Times New Roman" w:hAnsi="Times New Roman" w:cs="Times New Roman"/>
        </w:rPr>
        <w:lastRenderedPageBreak/>
        <w:t>Table of Contents</w:t>
      </w:r>
      <w:bookmarkEnd w:id="0"/>
    </w:p>
    <w:sdt>
      <w:sdtPr>
        <w:rPr>
          <w:rFonts w:ascii="Times New Roman" w:hAnsi="Times New Roman" w:cs="Times New Roman"/>
        </w:rPr>
        <w:alias w:val="Table of Contents"/>
        <w:id w:val="377294120"/>
      </w:sdtPr>
      <w:sdtContent>
        <w:p w14:paraId="37ABBF88" w14:textId="486615FE" w:rsidR="008311AC" w:rsidRPr="006862EB" w:rsidRDefault="00000000">
          <w:pPr>
            <w:pStyle w:val="TOC1"/>
            <w:tabs>
              <w:tab w:val="right" w:leader="dot" w:pos="9350"/>
            </w:tabs>
            <w:rPr>
              <w:rFonts w:ascii="Times New Roman" w:hAnsi="Times New Roman" w:cs="Times New Roman"/>
              <w:noProof/>
            </w:rPr>
          </w:pPr>
          <w:r w:rsidRPr="006862EB">
            <w:rPr>
              <w:rFonts w:ascii="Times New Roman" w:hAnsi="Times New Roman" w:cs="Times New Roman"/>
            </w:rPr>
            <w:fldChar w:fldCharType="begin"/>
          </w:r>
          <w:r w:rsidRPr="006862EB">
            <w:rPr>
              <w:rFonts w:ascii="Times New Roman" w:hAnsi="Times New Roman" w:cs="Times New Roman"/>
            </w:rPr>
            <w:instrText>TOC \h \o "1-2"</w:instrText>
          </w:r>
          <w:r w:rsidRPr="006862EB">
            <w:rPr>
              <w:rFonts w:ascii="Times New Roman" w:hAnsi="Times New Roman" w:cs="Times New Roman"/>
            </w:rPr>
            <w:fldChar w:fldCharType="separate"/>
          </w:r>
          <w:hyperlink w:anchor="_Toc234529041" w:history="1">
            <w:r w:rsidR="008311AC" w:rsidRPr="006862EB">
              <w:rPr>
                <w:rStyle w:val="Hyperlink"/>
                <w:rFonts w:ascii="Times New Roman" w:hAnsi="Times New Roman" w:cs="Times New Roman"/>
                <w:noProof/>
              </w:rPr>
              <w:t>Table of Contents</w:t>
            </w:r>
            <w:r w:rsidR="008311AC" w:rsidRPr="006862EB">
              <w:rPr>
                <w:rFonts w:ascii="Times New Roman" w:hAnsi="Times New Roman" w:cs="Times New Roman"/>
                <w:noProof/>
              </w:rPr>
              <w:tab/>
            </w:r>
            <w:r w:rsidR="008311AC" w:rsidRPr="006862EB">
              <w:rPr>
                <w:rFonts w:ascii="Times New Roman" w:hAnsi="Times New Roman" w:cs="Times New Roman"/>
                <w:noProof/>
              </w:rPr>
              <w:fldChar w:fldCharType="begin"/>
            </w:r>
            <w:r w:rsidR="008311AC" w:rsidRPr="006862EB">
              <w:rPr>
                <w:rFonts w:ascii="Times New Roman" w:hAnsi="Times New Roman" w:cs="Times New Roman"/>
                <w:noProof/>
              </w:rPr>
              <w:instrText xml:space="preserve"> PAGEREF _Toc234529041 \h </w:instrText>
            </w:r>
            <w:r w:rsidR="008311AC" w:rsidRPr="006862EB">
              <w:rPr>
                <w:rFonts w:ascii="Times New Roman" w:hAnsi="Times New Roman" w:cs="Times New Roman"/>
                <w:noProof/>
              </w:rPr>
            </w:r>
            <w:r w:rsidR="008311AC" w:rsidRPr="006862EB">
              <w:rPr>
                <w:rFonts w:ascii="Times New Roman" w:hAnsi="Times New Roman" w:cs="Times New Roman"/>
                <w:noProof/>
              </w:rPr>
              <w:fldChar w:fldCharType="separate"/>
            </w:r>
            <w:r w:rsidR="008311AC" w:rsidRPr="006862EB">
              <w:rPr>
                <w:rFonts w:ascii="Times New Roman" w:hAnsi="Times New Roman" w:cs="Times New Roman"/>
                <w:noProof/>
              </w:rPr>
              <w:t>1</w:t>
            </w:r>
            <w:r w:rsidR="008311AC" w:rsidRPr="006862EB">
              <w:rPr>
                <w:rFonts w:ascii="Times New Roman" w:hAnsi="Times New Roman" w:cs="Times New Roman"/>
                <w:noProof/>
              </w:rPr>
              <w:fldChar w:fldCharType="end"/>
            </w:r>
          </w:hyperlink>
        </w:p>
        <w:p w14:paraId="52DFA3B7" w14:textId="77777777" w:rsidR="008311AC" w:rsidRPr="006862EB" w:rsidRDefault="008311AC">
          <w:pPr>
            <w:pStyle w:val="TOC1"/>
            <w:tabs>
              <w:tab w:val="right" w:leader="dot" w:pos="9350"/>
            </w:tabs>
            <w:rPr>
              <w:rFonts w:ascii="Times New Roman" w:hAnsi="Times New Roman" w:cs="Times New Roman"/>
              <w:noProof/>
            </w:rPr>
          </w:pPr>
          <w:hyperlink w:anchor="_Toc234529042" w:history="1">
            <w:r w:rsidRPr="006862EB">
              <w:rPr>
                <w:rStyle w:val="Hyperlink"/>
                <w:rFonts w:ascii="Times New Roman" w:hAnsi="Times New Roman" w:cs="Times New Roman"/>
                <w:noProof/>
              </w:rPr>
              <w:t>1. Introduction</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_Toc234529042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68987F1E" w14:textId="77777777" w:rsidR="008311AC" w:rsidRPr="006862EB" w:rsidRDefault="008311AC">
          <w:pPr>
            <w:pStyle w:val="TOC1"/>
            <w:tabs>
              <w:tab w:val="right" w:leader="dot" w:pos="9350"/>
            </w:tabs>
            <w:rPr>
              <w:rFonts w:ascii="Times New Roman" w:hAnsi="Times New Roman" w:cs="Times New Roman"/>
              <w:noProof/>
            </w:rPr>
          </w:pPr>
          <w:hyperlink w:anchor="_Toc234529043" w:history="1">
            <w:r w:rsidRPr="006862EB">
              <w:rPr>
                <w:rStyle w:val="Hyperlink"/>
                <w:rFonts w:ascii="Times New Roman" w:hAnsi="Times New Roman" w:cs="Times New Roman"/>
                <w:noProof/>
              </w:rPr>
              <w:t>2. Objectives</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_Toc234529043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3D51815C" w14:textId="77777777" w:rsidR="008311AC" w:rsidRPr="006862EB" w:rsidRDefault="008311AC">
          <w:pPr>
            <w:pStyle w:val="TOC1"/>
            <w:tabs>
              <w:tab w:val="right" w:leader="dot" w:pos="9350"/>
            </w:tabs>
            <w:rPr>
              <w:rFonts w:ascii="Times New Roman" w:hAnsi="Times New Roman" w:cs="Times New Roman"/>
              <w:noProof/>
            </w:rPr>
          </w:pPr>
          <w:hyperlink w:anchor="_Toc234529044" w:history="1">
            <w:r w:rsidRPr="006862EB">
              <w:rPr>
                <w:rStyle w:val="Hyperlink"/>
                <w:rFonts w:ascii="Times New Roman" w:hAnsi="Times New Roman" w:cs="Times New Roman"/>
                <w:noProof/>
              </w:rPr>
              <w:t>3. Dataset Description</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_Toc234529044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7ADC69A1" w14:textId="77777777" w:rsidR="008311AC" w:rsidRPr="006862EB" w:rsidRDefault="008311AC">
          <w:pPr>
            <w:pStyle w:val="TOC1"/>
            <w:tabs>
              <w:tab w:val="right" w:leader="dot" w:pos="9350"/>
            </w:tabs>
            <w:rPr>
              <w:rFonts w:ascii="Times New Roman" w:hAnsi="Times New Roman" w:cs="Times New Roman"/>
              <w:noProof/>
            </w:rPr>
          </w:pPr>
          <w:hyperlink w:anchor="_Toc234529045" w:history="1">
            <w:r w:rsidRPr="006862EB">
              <w:rPr>
                <w:rStyle w:val="Hyperlink"/>
                <w:rFonts w:ascii="Times New Roman" w:hAnsi="Times New Roman" w:cs="Times New Roman"/>
                <w:noProof/>
              </w:rPr>
              <w:t>4. ETL Pipeline</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_Toc234529045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74CD4311" w14:textId="77777777" w:rsidR="008311AC" w:rsidRPr="006862EB" w:rsidRDefault="008311AC">
          <w:pPr>
            <w:pStyle w:val="TOC1"/>
            <w:tabs>
              <w:tab w:val="right" w:leader="dot" w:pos="9350"/>
            </w:tabs>
            <w:rPr>
              <w:rFonts w:ascii="Times New Roman" w:hAnsi="Times New Roman" w:cs="Times New Roman"/>
              <w:noProof/>
            </w:rPr>
          </w:pPr>
          <w:hyperlink w:anchor="_Toc234529046" w:history="1">
            <w:r w:rsidRPr="006862EB">
              <w:rPr>
                <w:rStyle w:val="Hyperlink"/>
                <w:rFonts w:ascii="Times New Roman" w:hAnsi="Times New Roman" w:cs="Times New Roman"/>
                <w:noProof/>
              </w:rPr>
              <w:t>5. Exploratory Data Analysis</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_Toc234529046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0192CD81" w14:textId="77777777" w:rsidR="008311AC" w:rsidRPr="006862EB" w:rsidRDefault="008311AC">
          <w:pPr>
            <w:pStyle w:val="TOC2"/>
            <w:tabs>
              <w:tab w:val="right" w:leader="dot" w:pos="9350"/>
            </w:tabs>
            <w:rPr>
              <w:rFonts w:ascii="Times New Roman" w:hAnsi="Times New Roman" w:cs="Times New Roman"/>
              <w:noProof/>
            </w:rPr>
          </w:pPr>
          <w:hyperlink w:anchor="_Toc234529047" w:history="1">
            <w:r w:rsidRPr="006862EB">
              <w:rPr>
                <w:rStyle w:val="Hyperlink"/>
                <w:rFonts w:ascii="Times New Roman" w:hAnsi="Times New Roman" w:cs="Times New Roman"/>
                <w:noProof/>
              </w:rPr>
              <w:t>Distribution Plot</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_Toc234529047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77E277BF" w14:textId="77777777" w:rsidR="008311AC" w:rsidRPr="006862EB" w:rsidRDefault="008311AC">
          <w:pPr>
            <w:pStyle w:val="TOC2"/>
            <w:tabs>
              <w:tab w:val="right" w:leader="dot" w:pos="9350"/>
            </w:tabs>
            <w:rPr>
              <w:rFonts w:ascii="Times New Roman" w:hAnsi="Times New Roman" w:cs="Times New Roman"/>
              <w:noProof/>
            </w:rPr>
          </w:pPr>
          <w:hyperlink w:anchor="_Toc234529048" w:history="1">
            <w:r w:rsidRPr="006862EB">
              <w:rPr>
                <w:rStyle w:val="Hyperlink"/>
                <w:rFonts w:ascii="Times New Roman" w:hAnsi="Times New Roman" w:cs="Times New Roman"/>
                <w:noProof/>
              </w:rPr>
              <w:t>Correlation Heatmap</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_Toc234529048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4618C8D5" w14:textId="77777777" w:rsidR="008311AC" w:rsidRPr="006862EB" w:rsidRDefault="008311AC">
          <w:pPr>
            <w:pStyle w:val="TOC2"/>
            <w:tabs>
              <w:tab w:val="right" w:leader="dot" w:pos="9350"/>
            </w:tabs>
            <w:rPr>
              <w:rFonts w:ascii="Times New Roman" w:hAnsi="Times New Roman" w:cs="Times New Roman"/>
              <w:noProof/>
            </w:rPr>
          </w:pPr>
          <w:hyperlink w:anchor="_Toc234529049" w:history="1">
            <w:r w:rsidRPr="006862EB">
              <w:rPr>
                <w:rStyle w:val="Hyperlink"/>
                <w:rFonts w:ascii="Times New Roman" w:hAnsi="Times New Roman" w:cs="Times New Roman"/>
                <w:noProof/>
              </w:rPr>
              <w:t>Missing Value Analysis</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_Toc234529049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3FDD6EB8" w14:textId="77777777" w:rsidR="008311AC" w:rsidRPr="006862EB" w:rsidRDefault="008311AC">
          <w:pPr>
            <w:pStyle w:val="TOC2"/>
            <w:tabs>
              <w:tab w:val="right" w:leader="dot" w:pos="9350"/>
            </w:tabs>
            <w:rPr>
              <w:rFonts w:ascii="Times New Roman" w:hAnsi="Times New Roman" w:cs="Times New Roman"/>
              <w:noProof/>
            </w:rPr>
          </w:pPr>
          <w:hyperlink w:anchor="_Toc234529050" w:history="1">
            <w:r w:rsidRPr="006862EB">
              <w:rPr>
                <w:rStyle w:val="Hyperlink"/>
                <w:rFonts w:ascii="Times New Roman" w:hAnsi="Times New Roman" w:cs="Times New Roman"/>
                <w:noProof/>
              </w:rPr>
              <w:t>Investment Analysis</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_Toc234529050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2CED4C6E" w14:textId="77777777" w:rsidR="008311AC" w:rsidRPr="006862EB" w:rsidRDefault="008311AC">
          <w:pPr>
            <w:pStyle w:val="TOC2"/>
            <w:tabs>
              <w:tab w:val="right" w:leader="dot" w:pos="9350"/>
            </w:tabs>
            <w:rPr>
              <w:rFonts w:ascii="Times New Roman" w:hAnsi="Times New Roman" w:cs="Times New Roman"/>
              <w:noProof/>
            </w:rPr>
          </w:pPr>
          <w:hyperlink w:anchor="_Toc234529051" w:history="1">
            <w:r w:rsidRPr="006862EB">
              <w:rPr>
                <w:rStyle w:val="Hyperlink"/>
                <w:rFonts w:ascii="Times New Roman" w:hAnsi="Times New Roman" w:cs="Times New Roman"/>
                <w:noProof/>
              </w:rPr>
              <w:t>Key Insights</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_Toc234529051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2699EBA8" w14:textId="77777777" w:rsidR="008311AC" w:rsidRPr="006862EB" w:rsidRDefault="008311AC">
          <w:pPr>
            <w:pStyle w:val="TOC1"/>
            <w:tabs>
              <w:tab w:val="right" w:leader="dot" w:pos="9350"/>
            </w:tabs>
            <w:rPr>
              <w:rFonts w:ascii="Times New Roman" w:hAnsi="Times New Roman" w:cs="Times New Roman"/>
              <w:noProof/>
            </w:rPr>
          </w:pPr>
          <w:hyperlink w:anchor="_Toc234529052" w:history="1">
            <w:r w:rsidRPr="006862EB">
              <w:rPr>
                <w:rStyle w:val="Hyperlink"/>
                <w:rFonts w:ascii="Times New Roman" w:hAnsi="Times New Roman" w:cs="Times New Roman"/>
                <w:noProof/>
              </w:rPr>
              <w:t>6. Performance Analytics</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_Toc234529052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79F261BF" w14:textId="77777777" w:rsidR="008311AC" w:rsidRPr="006862EB" w:rsidRDefault="008311AC">
          <w:pPr>
            <w:pStyle w:val="TOC2"/>
            <w:tabs>
              <w:tab w:val="right" w:leader="dot" w:pos="9350"/>
            </w:tabs>
            <w:rPr>
              <w:rFonts w:ascii="Times New Roman" w:hAnsi="Times New Roman" w:cs="Times New Roman"/>
              <w:noProof/>
            </w:rPr>
          </w:pPr>
          <w:hyperlink w:anchor="_Toc234529053" w:history="1">
            <w:r w:rsidRPr="006862EB">
              <w:rPr>
                <w:rStyle w:val="Hyperlink"/>
                <w:rFonts w:ascii="Times New Roman" w:hAnsi="Times New Roman" w:cs="Times New Roman"/>
                <w:noProof/>
              </w:rPr>
              <w:t>CAGR</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_Toc234529053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629CD4CB" w14:textId="77777777" w:rsidR="008311AC" w:rsidRPr="006862EB" w:rsidRDefault="008311AC">
          <w:pPr>
            <w:pStyle w:val="TOC2"/>
            <w:tabs>
              <w:tab w:val="right" w:leader="dot" w:pos="9350"/>
            </w:tabs>
            <w:rPr>
              <w:rFonts w:ascii="Times New Roman" w:hAnsi="Times New Roman" w:cs="Times New Roman"/>
              <w:noProof/>
            </w:rPr>
          </w:pPr>
          <w:hyperlink w:anchor="_Toc234529054" w:history="1">
            <w:r w:rsidRPr="006862EB">
              <w:rPr>
                <w:rStyle w:val="Hyperlink"/>
                <w:rFonts w:ascii="Times New Roman" w:hAnsi="Times New Roman" w:cs="Times New Roman"/>
                <w:noProof/>
              </w:rPr>
              <w:t>Sharpe Ratio</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_Toc234529054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359C6C0E" w14:textId="77777777" w:rsidR="008311AC" w:rsidRPr="006862EB" w:rsidRDefault="008311AC">
          <w:pPr>
            <w:pStyle w:val="TOC2"/>
            <w:tabs>
              <w:tab w:val="right" w:leader="dot" w:pos="9350"/>
            </w:tabs>
            <w:rPr>
              <w:rFonts w:ascii="Times New Roman" w:hAnsi="Times New Roman" w:cs="Times New Roman"/>
              <w:noProof/>
            </w:rPr>
          </w:pPr>
          <w:hyperlink w:anchor="_Toc234529055" w:history="1">
            <w:r w:rsidRPr="006862EB">
              <w:rPr>
                <w:rStyle w:val="Hyperlink"/>
                <w:rFonts w:ascii="Times New Roman" w:hAnsi="Times New Roman" w:cs="Times New Roman"/>
                <w:noProof/>
              </w:rPr>
              <w:t>Beta</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_Toc234529055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4CEA15AC" w14:textId="77777777" w:rsidR="008311AC" w:rsidRPr="006862EB" w:rsidRDefault="008311AC">
          <w:pPr>
            <w:pStyle w:val="TOC2"/>
            <w:tabs>
              <w:tab w:val="right" w:leader="dot" w:pos="9350"/>
            </w:tabs>
            <w:rPr>
              <w:rFonts w:ascii="Times New Roman" w:hAnsi="Times New Roman" w:cs="Times New Roman"/>
              <w:noProof/>
            </w:rPr>
          </w:pPr>
          <w:hyperlink w:anchor="_Toc234529056" w:history="1">
            <w:r w:rsidRPr="006862EB">
              <w:rPr>
                <w:rStyle w:val="Hyperlink"/>
                <w:rFonts w:ascii="Times New Roman" w:hAnsi="Times New Roman" w:cs="Times New Roman"/>
                <w:noProof/>
              </w:rPr>
              <w:t>Rolling Returns</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_Toc234529056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4B4E575A" w14:textId="77777777" w:rsidR="008311AC" w:rsidRPr="006862EB" w:rsidRDefault="008311AC">
          <w:pPr>
            <w:pStyle w:val="TOC2"/>
            <w:tabs>
              <w:tab w:val="right" w:leader="dot" w:pos="9350"/>
            </w:tabs>
            <w:rPr>
              <w:rFonts w:ascii="Times New Roman" w:hAnsi="Times New Roman" w:cs="Times New Roman"/>
              <w:noProof/>
            </w:rPr>
          </w:pPr>
          <w:hyperlink w:anchor="_Toc234529057" w:history="1">
            <w:r w:rsidRPr="006862EB">
              <w:rPr>
                <w:rStyle w:val="Hyperlink"/>
                <w:rFonts w:ascii="Times New Roman" w:hAnsi="Times New Roman" w:cs="Times New Roman"/>
                <w:noProof/>
              </w:rPr>
              <w:t>Historical VaR</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_Toc234529057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1779F8CE" w14:textId="77777777" w:rsidR="008311AC" w:rsidRPr="006862EB" w:rsidRDefault="008311AC">
          <w:pPr>
            <w:pStyle w:val="TOC2"/>
            <w:tabs>
              <w:tab w:val="right" w:leader="dot" w:pos="9350"/>
            </w:tabs>
            <w:rPr>
              <w:rFonts w:ascii="Times New Roman" w:hAnsi="Times New Roman" w:cs="Times New Roman"/>
              <w:noProof/>
            </w:rPr>
          </w:pPr>
          <w:hyperlink w:anchor="_Toc234529058" w:history="1">
            <w:r w:rsidRPr="006862EB">
              <w:rPr>
                <w:rStyle w:val="Hyperlink"/>
                <w:rFonts w:ascii="Times New Roman" w:hAnsi="Times New Roman" w:cs="Times New Roman"/>
                <w:noProof/>
              </w:rPr>
              <w:t>CVaR</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_Toc234529058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3D4AB9E6" w14:textId="77777777" w:rsidR="008311AC" w:rsidRPr="006862EB" w:rsidRDefault="008311AC">
          <w:pPr>
            <w:pStyle w:val="TOC1"/>
            <w:tabs>
              <w:tab w:val="right" w:leader="dot" w:pos="9350"/>
            </w:tabs>
            <w:rPr>
              <w:rFonts w:ascii="Times New Roman" w:hAnsi="Times New Roman" w:cs="Times New Roman"/>
              <w:noProof/>
            </w:rPr>
          </w:pPr>
          <w:hyperlink w:anchor="_Toc234529059" w:history="1">
            <w:r w:rsidRPr="006862EB">
              <w:rPr>
                <w:rStyle w:val="Hyperlink"/>
                <w:rFonts w:ascii="Times New Roman" w:hAnsi="Times New Roman" w:cs="Times New Roman"/>
                <w:noProof/>
              </w:rPr>
              <w:t>7. Power BI Dashboard</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_Toc234529059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76CA75D5" w14:textId="77777777" w:rsidR="008311AC" w:rsidRPr="006862EB" w:rsidRDefault="008311AC">
          <w:pPr>
            <w:pStyle w:val="TOC2"/>
            <w:tabs>
              <w:tab w:val="right" w:leader="dot" w:pos="9350"/>
            </w:tabs>
            <w:rPr>
              <w:rFonts w:ascii="Times New Roman" w:hAnsi="Times New Roman" w:cs="Times New Roman"/>
              <w:noProof/>
            </w:rPr>
          </w:pPr>
          <w:hyperlink w:anchor="_Toc234529060" w:history="1">
            <w:r w:rsidRPr="006862EB">
              <w:rPr>
                <w:rStyle w:val="Hyperlink"/>
                <w:rFonts w:ascii="Times New Roman" w:hAnsi="Times New Roman" w:cs="Times New Roman"/>
                <w:noProof/>
              </w:rPr>
              <w:t>Executive Overview</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_Toc234529060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50175EF2" w14:textId="77777777" w:rsidR="008311AC" w:rsidRPr="006862EB" w:rsidRDefault="008311AC">
          <w:pPr>
            <w:pStyle w:val="TOC2"/>
            <w:tabs>
              <w:tab w:val="right" w:leader="dot" w:pos="9350"/>
            </w:tabs>
            <w:rPr>
              <w:rFonts w:ascii="Times New Roman" w:hAnsi="Times New Roman" w:cs="Times New Roman"/>
              <w:noProof/>
            </w:rPr>
          </w:pPr>
          <w:hyperlink w:anchor="_Toc234529061" w:history="1">
            <w:r w:rsidRPr="006862EB">
              <w:rPr>
                <w:rStyle w:val="Hyperlink"/>
                <w:rFonts w:ascii="Times New Roman" w:hAnsi="Times New Roman" w:cs="Times New Roman"/>
                <w:noProof/>
              </w:rPr>
              <w:t>Fund Performance</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_Toc234529061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2BA2396A" w14:textId="77777777" w:rsidR="008311AC" w:rsidRPr="006862EB" w:rsidRDefault="008311AC">
          <w:pPr>
            <w:pStyle w:val="TOC2"/>
            <w:tabs>
              <w:tab w:val="right" w:leader="dot" w:pos="9350"/>
            </w:tabs>
            <w:rPr>
              <w:rFonts w:ascii="Times New Roman" w:hAnsi="Times New Roman" w:cs="Times New Roman"/>
              <w:noProof/>
            </w:rPr>
          </w:pPr>
          <w:hyperlink w:anchor="_Toc234529062" w:history="1">
            <w:r w:rsidRPr="006862EB">
              <w:rPr>
                <w:rStyle w:val="Hyperlink"/>
                <w:rFonts w:ascii="Times New Roman" w:hAnsi="Times New Roman" w:cs="Times New Roman"/>
                <w:noProof/>
              </w:rPr>
              <w:t>Investor Analysis</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_Toc234529062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098166A3" w14:textId="77777777" w:rsidR="008311AC" w:rsidRPr="006862EB" w:rsidRDefault="008311AC">
          <w:pPr>
            <w:pStyle w:val="TOC2"/>
            <w:tabs>
              <w:tab w:val="right" w:leader="dot" w:pos="9350"/>
            </w:tabs>
            <w:rPr>
              <w:rFonts w:ascii="Times New Roman" w:hAnsi="Times New Roman" w:cs="Times New Roman"/>
              <w:noProof/>
            </w:rPr>
          </w:pPr>
          <w:hyperlink w:anchor="_Toc234529063" w:history="1">
            <w:r w:rsidRPr="006862EB">
              <w:rPr>
                <w:rStyle w:val="Hyperlink"/>
                <w:rFonts w:ascii="Times New Roman" w:hAnsi="Times New Roman" w:cs="Times New Roman"/>
                <w:noProof/>
              </w:rPr>
              <w:t>Risk Analytics</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_Toc234529063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444B277F" w14:textId="77777777" w:rsidR="008311AC" w:rsidRPr="006862EB" w:rsidRDefault="008311AC">
          <w:pPr>
            <w:pStyle w:val="TOC1"/>
            <w:tabs>
              <w:tab w:val="right" w:leader="dot" w:pos="9350"/>
            </w:tabs>
            <w:rPr>
              <w:rFonts w:ascii="Times New Roman" w:hAnsi="Times New Roman" w:cs="Times New Roman"/>
              <w:noProof/>
            </w:rPr>
          </w:pPr>
          <w:hyperlink w:anchor="_Toc234529064" w:history="1">
            <w:r w:rsidRPr="006862EB">
              <w:rPr>
                <w:rStyle w:val="Hyperlink"/>
                <w:rFonts w:ascii="Times New Roman" w:hAnsi="Times New Roman" w:cs="Times New Roman"/>
                <w:noProof/>
              </w:rPr>
              <w:t>8. Advanced Analytics</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_Toc234529064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12371A64" w14:textId="77777777" w:rsidR="008311AC" w:rsidRPr="006862EB" w:rsidRDefault="008311AC">
          <w:pPr>
            <w:pStyle w:val="TOC2"/>
            <w:tabs>
              <w:tab w:val="right" w:leader="dot" w:pos="9350"/>
            </w:tabs>
            <w:rPr>
              <w:rFonts w:ascii="Times New Roman" w:hAnsi="Times New Roman" w:cs="Times New Roman"/>
              <w:noProof/>
            </w:rPr>
          </w:pPr>
          <w:hyperlink w:anchor="_Toc234529065" w:history="1">
            <w:r w:rsidRPr="006862EB">
              <w:rPr>
                <w:rStyle w:val="Hyperlink"/>
                <w:rFonts w:ascii="Times New Roman" w:hAnsi="Times New Roman" w:cs="Times New Roman"/>
                <w:noProof/>
              </w:rPr>
              <w:t>Historical VaR (40 schemes)</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_Toc234529065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66FC2D57" w14:textId="77777777" w:rsidR="008311AC" w:rsidRPr="006862EB" w:rsidRDefault="008311AC">
          <w:pPr>
            <w:pStyle w:val="TOC2"/>
            <w:tabs>
              <w:tab w:val="right" w:leader="dot" w:pos="9350"/>
            </w:tabs>
            <w:rPr>
              <w:rFonts w:ascii="Times New Roman" w:hAnsi="Times New Roman" w:cs="Times New Roman"/>
              <w:noProof/>
            </w:rPr>
          </w:pPr>
          <w:hyperlink w:anchor="_Toc234529066" w:history="1">
            <w:r w:rsidRPr="006862EB">
              <w:rPr>
                <w:rStyle w:val="Hyperlink"/>
                <w:rFonts w:ascii="Times New Roman" w:hAnsi="Times New Roman" w:cs="Times New Roman"/>
                <w:noProof/>
              </w:rPr>
              <w:t>Rolling Sharpe Ratio</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_Toc234529066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73645997" w14:textId="77777777" w:rsidR="008311AC" w:rsidRPr="006862EB" w:rsidRDefault="008311AC">
          <w:pPr>
            <w:pStyle w:val="TOC2"/>
            <w:tabs>
              <w:tab w:val="right" w:leader="dot" w:pos="9350"/>
            </w:tabs>
            <w:rPr>
              <w:rFonts w:ascii="Times New Roman" w:hAnsi="Times New Roman" w:cs="Times New Roman"/>
              <w:noProof/>
            </w:rPr>
          </w:pPr>
          <w:hyperlink w:anchor="_Toc234529067" w:history="1">
            <w:r w:rsidRPr="006862EB">
              <w:rPr>
                <w:rStyle w:val="Hyperlink"/>
                <w:rFonts w:ascii="Times New Roman" w:hAnsi="Times New Roman" w:cs="Times New Roman"/>
                <w:noProof/>
              </w:rPr>
              <w:t>Investor Cohort Analysis</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_Toc234529067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6BCDE0C7" w14:textId="77777777" w:rsidR="008311AC" w:rsidRPr="006862EB" w:rsidRDefault="008311AC">
          <w:pPr>
            <w:pStyle w:val="TOC2"/>
            <w:tabs>
              <w:tab w:val="right" w:leader="dot" w:pos="9350"/>
            </w:tabs>
            <w:rPr>
              <w:rFonts w:ascii="Times New Roman" w:hAnsi="Times New Roman" w:cs="Times New Roman"/>
              <w:noProof/>
            </w:rPr>
          </w:pPr>
          <w:hyperlink w:anchor="_Toc234529068" w:history="1">
            <w:r w:rsidRPr="006862EB">
              <w:rPr>
                <w:rStyle w:val="Hyperlink"/>
                <w:rFonts w:ascii="Times New Roman" w:hAnsi="Times New Roman" w:cs="Times New Roman"/>
                <w:noProof/>
              </w:rPr>
              <w:t>SIP Continuity Analysis</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_Toc234529068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543513EC" w14:textId="77777777" w:rsidR="008311AC" w:rsidRPr="006862EB" w:rsidRDefault="008311AC">
          <w:pPr>
            <w:pStyle w:val="TOC2"/>
            <w:tabs>
              <w:tab w:val="right" w:leader="dot" w:pos="9350"/>
            </w:tabs>
            <w:rPr>
              <w:rFonts w:ascii="Times New Roman" w:hAnsi="Times New Roman" w:cs="Times New Roman"/>
              <w:noProof/>
            </w:rPr>
          </w:pPr>
          <w:hyperlink w:anchor="_Toc234529069" w:history="1">
            <w:r w:rsidRPr="006862EB">
              <w:rPr>
                <w:rStyle w:val="Hyperlink"/>
                <w:rFonts w:ascii="Times New Roman" w:hAnsi="Times New Roman" w:cs="Times New Roman"/>
                <w:noProof/>
              </w:rPr>
              <w:t>Sector HHI Analysis</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_Toc234529069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134A38A7" w14:textId="77777777" w:rsidR="008311AC" w:rsidRPr="006862EB" w:rsidRDefault="008311AC">
          <w:pPr>
            <w:pStyle w:val="TOC2"/>
            <w:tabs>
              <w:tab w:val="right" w:leader="dot" w:pos="9350"/>
            </w:tabs>
            <w:rPr>
              <w:rFonts w:ascii="Times New Roman" w:hAnsi="Times New Roman" w:cs="Times New Roman"/>
              <w:noProof/>
            </w:rPr>
          </w:pPr>
          <w:hyperlink w:anchor="_Toc234529070" w:history="1">
            <w:r w:rsidRPr="006862EB">
              <w:rPr>
                <w:rStyle w:val="Hyperlink"/>
                <w:rFonts w:ascii="Times New Roman" w:hAnsi="Times New Roman" w:cs="Times New Roman"/>
                <w:noProof/>
              </w:rPr>
              <w:t>Fund Recommender</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_Toc234529070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216C1212" w14:textId="77777777" w:rsidR="008311AC" w:rsidRPr="006862EB" w:rsidRDefault="008311AC">
          <w:pPr>
            <w:pStyle w:val="TOC1"/>
            <w:tabs>
              <w:tab w:val="right" w:leader="dot" w:pos="9350"/>
            </w:tabs>
            <w:rPr>
              <w:rFonts w:ascii="Times New Roman" w:hAnsi="Times New Roman" w:cs="Times New Roman"/>
              <w:noProof/>
            </w:rPr>
          </w:pPr>
          <w:hyperlink w:anchor="_Toc234529071" w:history="1">
            <w:r w:rsidRPr="006862EB">
              <w:rPr>
                <w:rStyle w:val="Hyperlink"/>
                <w:rFonts w:ascii="Times New Roman" w:hAnsi="Times New Roman" w:cs="Times New Roman"/>
                <w:noProof/>
              </w:rPr>
              <w:t>9. Key Findings</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_Toc234529071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49FE073E" w14:textId="77777777" w:rsidR="008311AC" w:rsidRPr="006862EB" w:rsidRDefault="008311AC">
          <w:pPr>
            <w:pStyle w:val="TOC1"/>
            <w:tabs>
              <w:tab w:val="right" w:leader="dot" w:pos="9350"/>
            </w:tabs>
            <w:rPr>
              <w:rFonts w:ascii="Times New Roman" w:hAnsi="Times New Roman" w:cs="Times New Roman"/>
              <w:noProof/>
            </w:rPr>
          </w:pPr>
          <w:hyperlink w:anchor="_Toc234529072" w:history="1">
            <w:r w:rsidRPr="006862EB">
              <w:rPr>
                <w:rStyle w:val="Hyperlink"/>
                <w:rFonts w:ascii="Times New Roman" w:hAnsi="Times New Roman" w:cs="Times New Roman"/>
                <w:noProof/>
              </w:rPr>
              <w:t>10. Conclusion</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_Toc234529072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3168B309" w14:textId="77777777" w:rsidR="008311AC" w:rsidRPr="006862EB" w:rsidRDefault="008311AC">
          <w:pPr>
            <w:pStyle w:val="TOC1"/>
            <w:tabs>
              <w:tab w:val="right" w:leader="dot" w:pos="9350"/>
            </w:tabs>
            <w:rPr>
              <w:rFonts w:ascii="Times New Roman" w:hAnsi="Times New Roman" w:cs="Times New Roman"/>
              <w:noProof/>
            </w:rPr>
          </w:pPr>
          <w:hyperlink w:anchor="_Toc234529073" w:history="1">
            <w:r w:rsidRPr="006862EB">
              <w:rPr>
                <w:rStyle w:val="Hyperlink"/>
                <w:rFonts w:ascii="Times New Roman" w:hAnsi="Times New Roman" w:cs="Times New Roman"/>
                <w:noProof/>
              </w:rPr>
              <w:t>11. Future Scope</w:t>
            </w:r>
            <w:r w:rsidRPr="006862EB">
              <w:rPr>
                <w:rFonts w:ascii="Times New Roman" w:hAnsi="Times New Roman" w:cs="Times New Roman"/>
                <w:noProof/>
              </w:rPr>
              <w:tab/>
            </w:r>
            <w:r w:rsidRPr="006862EB">
              <w:rPr>
                <w:rFonts w:ascii="Times New Roman" w:hAnsi="Times New Roman" w:cs="Times New Roman"/>
                <w:noProof/>
              </w:rPr>
              <w:fldChar w:fldCharType="begin"/>
            </w:r>
            <w:r w:rsidRPr="006862EB">
              <w:rPr>
                <w:rFonts w:ascii="Times New Roman" w:hAnsi="Times New Roman" w:cs="Times New Roman"/>
                <w:noProof/>
              </w:rPr>
              <w:instrText xml:space="preserve"> PAGEREF _Toc234529073 \h </w:instrText>
            </w:r>
            <w:r w:rsidRPr="006862EB">
              <w:rPr>
                <w:rFonts w:ascii="Times New Roman" w:hAnsi="Times New Roman" w:cs="Times New Roman"/>
                <w:noProof/>
              </w:rPr>
            </w:r>
            <w:r w:rsidRPr="006862EB">
              <w:rPr>
                <w:rFonts w:ascii="Times New Roman" w:hAnsi="Times New Roman" w:cs="Times New Roman"/>
                <w:noProof/>
              </w:rPr>
              <w:fldChar w:fldCharType="separate"/>
            </w:r>
            <w:r w:rsidRPr="006862EB">
              <w:rPr>
                <w:rFonts w:ascii="Times New Roman" w:hAnsi="Times New Roman" w:cs="Times New Roman"/>
                <w:noProof/>
              </w:rPr>
              <w:t>1</w:t>
            </w:r>
            <w:r w:rsidRPr="006862EB">
              <w:rPr>
                <w:rFonts w:ascii="Times New Roman" w:hAnsi="Times New Roman" w:cs="Times New Roman"/>
                <w:noProof/>
              </w:rPr>
              <w:fldChar w:fldCharType="end"/>
            </w:r>
          </w:hyperlink>
        </w:p>
        <w:p w14:paraId="0BA1D415" w14:textId="272B1A1E" w:rsidR="008311AC" w:rsidRPr="006862EB" w:rsidRDefault="00000000">
          <w:pPr>
            <w:rPr>
              <w:rFonts w:ascii="Times New Roman" w:hAnsi="Times New Roman" w:cs="Times New Roman"/>
              <w:sz w:val="56"/>
              <w:szCs w:val="56"/>
            </w:rPr>
          </w:pPr>
          <w:r w:rsidRPr="006862EB">
            <w:rPr>
              <w:rFonts w:ascii="Times New Roman" w:hAnsi="Times New Roman" w:cs="Times New Roman"/>
            </w:rPr>
            <w:fldChar w:fldCharType="end"/>
          </w:r>
        </w:p>
        <w:p w14:paraId="132314E5" w14:textId="77777777" w:rsidR="008311AC" w:rsidRPr="006862EB" w:rsidRDefault="008311AC">
          <w:pPr>
            <w:rPr>
              <w:rFonts w:ascii="Times New Roman" w:hAnsi="Times New Roman" w:cs="Times New Roman"/>
            </w:rPr>
          </w:pPr>
        </w:p>
        <w:p w14:paraId="092EAEBF" w14:textId="77777777" w:rsidR="008311AC" w:rsidRPr="006862EB" w:rsidRDefault="008311AC">
          <w:pPr>
            <w:rPr>
              <w:rFonts w:ascii="Times New Roman" w:hAnsi="Times New Roman" w:cs="Times New Roman"/>
            </w:rPr>
          </w:pPr>
        </w:p>
        <w:p w14:paraId="1A22F054" w14:textId="77777777" w:rsidR="008311AC" w:rsidRPr="006862EB" w:rsidRDefault="008311AC">
          <w:pPr>
            <w:rPr>
              <w:rFonts w:ascii="Times New Roman" w:hAnsi="Times New Roman" w:cs="Times New Roman"/>
            </w:rPr>
          </w:pPr>
        </w:p>
        <w:p w14:paraId="4B575D8E" w14:textId="77777777" w:rsidR="008311AC" w:rsidRPr="006862EB" w:rsidRDefault="008311AC" w:rsidP="008311AC">
          <w:pPr>
            <w:rPr>
              <w:rFonts w:ascii="Times New Roman" w:hAnsi="Times New Roman" w:cs="Times New Roman"/>
              <w:sz w:val="56"/>
              <w:szCs w:val="56"/>
            </w:rPr>
          </w:pPr>
          <w:r w:rsidRPr="006862EB">
            <w:rPr>
              <w:rFonts w:ascii="Times New Roman" w:hAnsi="Times New Roman" w:cs="Times New Roman"/>
              <w:sz w:val="56"/>
              <w:szCs w:val="56"/>
            </w:rPr>
            <w:t>TABLE OF CONTENTS</w:t>
          </w:r>
        </w:p>
        <w:p w14:paraId="1C2E8C01" w14:textId="77777777" w:rsidR="008311AC" w:rsidRPr="006862EB" w:rsidRDefault="008311AC">
          <w:pPr>
            <w:rPr>
              <w:rFonts w:ascii="Times New Roman" w:hAnsi="Times New Roman" w:cs="Times New Roman"/>
            </w:rPr>
          </w:pPr>
        </w:p>
        <w:p w14:paraId="33330647" w14:textId="77777777" w:rsidR="008311AC" w:rsidRPr="006862EB" w:rsidRDefault="008311AC">
          <w:pPr>
            <w:rPr>
              <w:rFonts w:ascii="Times New Roman" w:hAnsi="Times New Roman" w:cs="Times New Roman"/>
              <w:sz w:val="52"/>
              <w:szCs w:val="52"/>
            </w:rPr>
          </w:pPr>
          <w:r w:rsidRPr="006862EB">
            <w:rPr>
              <w:rFonts w:ascii="Times New Roman" w:hAnsi="Times New Roman" w:cs="Times New Roman"/>
            </w:rPr>
            <w:t xml:space="preserve"> </w:t>
          </w:r>
          <w:r w:rsidRPr="006862EB">
            <w:rPr>
              <w:rFonts w:ascii="Times New Roman" w:hAnsi="Times New Roman" w:cs="Times New Roman"/>
              <w:sz w:val="52"/>
              <w:szCs w:val="52"/>
            </w:rPr>
            <w:t>1. Introduction</w:t>
          </w:r>
        </w:p>
        <w:p w14:paraId="46B6832A" w14:textId="77777777" w:rsidR="008311AC" w:rsidRPr="006862EB" w:rsidRDefault="008311AC">
          <w:pPr>
            <w:rPr>
              <w:rFonts w:ascii="Times New Roman" w:hAnsi="Times New Roman" w:cs="Times New Roman"/>
              <w:sz w:val="52"/>
              <w:szCs w:val="52"/>
            </w:rPr>
          </w:pPr>
          <w:r w:rsidRPr="006862EB">
            <w:rPr>
              <w:rFonts w:ascii="Times New Roman" w:hAnsi="Times New Roman" w:cs="Times New Roman"/>
              <w:sz w:val="52"/>
              <w:szCs w:val="52"/>
            </w:rPr>
            <w:t xml:space="preserve"> 2. Objectives </w:t>
          </w:r>
        </w:p>
        <w:p w14:paraId="0566E4C0" w14:textId="77777777" w:rsidR="008311AC" w:rsidRPr="006862EB" w:rsidRDefault="008311AC">
          <w:pPr>
            <w:rPr>
              <w:rFonts w:ascii="Times New Roman" w:hAnsi="Times New Roman" w:cs="Times New Roman"/>
              <w:sz w:val="52"/>
              <w:szCs w:val="52"/>
            </w:rPr>
          </w:pPr>
          <w:r w:rsidRPr="006862EB">
            <w:rPr>
              <w:rFonts w:ascii="Times New Roman" w:hAnsi="Times New Roman" w:cs="Times New Roman"/>
              <w:sz w:val="52"/>
              <w:szCs w:val="52"/>
            </w:rPr>
            <w:t xml:space="preserve"> </w:t>
          </w:r>
          <w:r w:rsidRPr="006862EB">
            <w:rPr>
              <w:rFonts w:ascii="Times New Roman" w:hAnsi="Times New Roman" w:cs="Times New Roman"/>
              <w:sz w:val="52"/>
              <w:szCs w:val="52"/>
            </w:rPr>
            <w:t xml:space="preserve">3. Dataset Description </w:t>
          </w:r>
        </w:p>
        <w:p w14:paraId="7119DD29" w14:textId="392FBE5C" w:rsidR="008311AC" w:rsidRPr="006862EB" w:rsidRDefault="008311AC">
          <w:pPr>
            <w:rPr>
              <w:rFonts w:ascii="Times New Roman" w:hAnsi="Times New Roman" w:cs="Times New Roman"/>
              <w:sz w:val="52"/>
              <w:szCs w:val="52"/>
            </w:rPr>
          </w:pPr>
          <w:r w:rsidRPr="006862EB">
            <w:rPr>
              <w:rFonts w:ascii="Times New Roman" w:hAnsi="Times New Roman" w:cs="Times New Roman"/>
              <w:sz w:val="52"/>
              <w:szCs w:val="52"/>
            </w:rPr>
            <w:t xml:space="preserve"> </w:t>
          </w:r>
          <w:r w:rsidRPr="006862EB">
            <w:rPr>
              <w:rFonts w:ascii="Times New Roman" w:hAnsi="Times New Roman" w:cs="Times New Roman"/>
              <w:sz w:val="52"/>
              <w:szCs w:val="52"/>
            </w:rPr>
            <w:t xml:space="preserve">4. ETL Pipeline </w:t>
          </w:r>
        </w:p>
        <w:p w14:paraId="6BA7FF82" w14:textId="51F1405E" w:rsidR="008311AC" w:rsidRPr="006862EB" w:rsidRDefault="008311AC">
          <w:pPr>
            <w:rPr>
              <w:rFonts w:ascii="Times New Roman" w:hAnsi="Times New Roman" w:cs="Times New Roman"/>
              <w:sz w:val="52"/>
              <w:szCs w:val="52"/>
            </w:rPr>
          </w:pPr>
          <w:r w:rsidRPr="006862EB">
            <w:rPr>
              <w:rFonts w:ascii="Times New Roman" w:hAnsi="Times New Roman" w:cs="Times New Roman"/>
              <w:sz w:val="52"/>
              <w:szCs w:val="52"/>
            </w:rPr>
            <w:t xml:space="preserve"> </w:t>
          </w:r>
          <w:r w:rsidRPr="006862EB">
            <w:rPr>
              <w:rFonts w:ascii="Times New Roman" w:hAnsi="Times New Roman" w:cs="Times New Roman"/>
              <w:sz w:val="52"/>
              <w:szCs w:val="52"/>
            </w:rPr>
            <w:t xml:space="preserve">5. Exploratory Data Analysis </w:t>
          </w:r>
        </w:p>
        <w:p w14:paraId="264835B3" w14:textId="330A0AAD" w:rsidR="008311AC" w:rsidRPr="006862EB" w:rsidRDefault="008311AC">
          <w:pPr>
            <w:rPr>
              <w:rFonts w:ascii="Times New Roman" w:hAnsi="Times New Roman" w:cs="Times New Roman"/>
              <w:sz w:val="52"/>
              <w:szCs w:val="52"/>
            </w:rPr>
          </w:pPr>
          <w:r w:rsidRPr="006862EB">
            <w:rPr>
              <w:rFonts w:ascii="Times New Roman" w:hAnsi="Times New Roman" w:cs="Times New Roman"/>
              <w:sz w:val="52"/>
              <w:szCs w:val="52"/>
            </w:rPr>
            <w:t xml:space="preserve"> </w:t>
          </w:r>
          <w:r w:rsidRPr="006862EB">
            <w:rPr>
              <w:rFonts w:ascii="Times New Roman" w:hAnsi="Times New Roman" w:cs="Times New Roman"/>
              <w:sz w:val="52"/>
              <w:szCs w:val="52"/>
            </w:rPr>
            <w:t xml:space="preserve">6. Performance Analytics </w:t>
          </w:r>
        </w:p>
        <w:p w14:paraId="1827521E" w14:textId="6B69AD9D" w:rsidR="008311AC" w:rsidRPr="006862EB" w:rsidRDefault="008311AC">
          <w:pPr>
            <w:rPr>
              <w:rFonts w:ascii="Times New Roman" w:hAnsi="Times New Roman" w:cs="Times New Roman"/>
              <w:sz w:val="52"/>
              <w:szCs w:val="52"/>
            </w:rPr>
          </w:pPr>
          <w:r w:rsidRPr="006862EB">
            <w:rPr>
              <w:rFonts w:ascii="Times New Roman" w:hAnsi="Times New Roman" w:cs="Times New Roman"/>
              <w:sz w:val="52"/>
              <w:szCs w:val="52"/>
            </w:rPr>
            <w:t xml:space="preserve"> </w:t>
          </w:r>
          <w:r w:rsidRPr="006862EB">
            <w:rPr>
              <w:rFonts w:ascii="Times New Roman" w:hAnsi="Times New Roman" w:cs="Times New Roman"/>
              <w:sz w:val="52"/>
              <w:szCs w:val="52"/>
            </w:rPr>
            <w:t xml:space="preserve">7. Power BI Dashboard </w:t>
          </w:r>
        </w:p>
        <w:p w14:paraId="43A9CAE5" w14:textId="02FD21E6" w:rsidR="008311AC" w:rsidRPr="006862EB" w:rsidRDefault="008311AC">
          <w:pPr>
            <w:rPr>
              <w:rFonts w:ascii="Times New Roman" w:hAnsi="Times New Roman" w:cs="Times New Roman"/>
              <w:sz w:val="52"/>
              <w:szCs w:val="52"/>
            </w:rPr>
          </w:pPr>
          <w:r w:rsidRPr="006862EB">
            <w:rPr>
              <w:rFonts w:ascii="Times New Roman" w:hAnsi="Times New Roman" w:cs="Times New Roman"/>
              <w:sz w:val="52"/>
              <w:szCs w:val="52"/>
            </w:rPr>
            <w:t xml:space="preserve"> </w:t>
          </w:r>
          <w:r w:rsidRPr="006862EB">
            <w:rPr>
              <w:rFonts w:ascii="Times New Roman" w:hAnsi="Times New Roman" w:cs="Times New Roman"/>
              <w:sz w:val="52"/>
              <w:szCs w:val="52"/>
            </w:rPr>
            <w:t xml:space="preserve">8. Advanced Analytics </w:t>
          </w:r>
        </w:p>
        <w:p w14:paraId="21B15C52" w14:textId="0CB6400C" w:rsidR="008311AC" w:rsidRPr="006862EB" w:rsidRDefault="008311AC">
          <w:pPr>
            <w:rPr>
              <w:rFonts w:ascii="Times New Roman" w:hAnsi="Times New Roman" w:cs="Times New Roman"/>
              <w:sz w:val="52"/>
              <w:szCs w:val="52"/>
            </w:rPr>
          </w:pPr>
          <w:r w:rsidRPr="006862EB">
            <w:rPr>
              <w:rFonts w:ascii="Times New Roman" w:hAnsi="Times New Roman" w:cs="Times New Roman"/>
              <w:sz w:val="52"/>
              <w:szCs w:val="52"/>
            </w:rPr>
            <w:t xml:space="preserve"> </w:t>
          </w:r>
          <w:r w:rsidRPr="006862EB">
            <w:rPr>
              <w:rFonts w:ascii="Times New Roman" w:hAnsi="Times New Roman" w:cs="Times New Roman"/>
              <w:sz w:val="52"/>
              <w:szCs w:val="52"/>
            </w:rPr>
            <w:t xml:space="preserve">9. Key Findings </w:t>
          </w:r>
        </w:p>
        <w:p w14:paraId="1BDA5F04" w14:textId="6A7DFF38" w:rsidR="008311AC" w:rsidRPr="006862EB" w:rsidRDefault="008311AC">
          <w:pPr>
            <w:rPr>
              <w:rFonts w:ascii="Times New Roman" w:hAnsi="Times New Roman" w:cs="Times New Roman"/>
              <w:sz w:val="52"/>
              <w:szCs w:val="52"/>
            </w:rPr>
          </w:pPr>
          <w:r w:rsidRPr="006862EB">
            <w:rPr>
              <w:rFonts w:ascii="Times New Roman" w:hAnsi="Times New Roman" w:cs="Times New Roman"/>
              <w:sz w:val="52"/>
              <w:szCs w:val="52"/>
            </w:rPr>
            <w:t xml:space="preserve"> </w:t>
          </w:r>
          <w:r w:rsidRPr="006862EB">
            <w:rPr>
              <w:rFonts w:ascii="Times New Roman" w:hAnsi="Times New Roman" w:cs="Times New Roman"/>
              <w:sz w:val="52"/>
              <w:szCs w:val="52"/>
            </w:rPr>
            <w:t xml:space="preserve">10. Conclusion </w:t>
          </w:r>
        </w:p>
        <w:p w14:paraId="18A92E1F" w14:textId="237BEFB3" w:rsidR="00710C56" w:rsidRPr="006862EB" w:rsidRDefault="008311AC">
          <w:pPr>
            <w:rPr>
              <w:rFonts w:ascii="Times New Roman" w:hAnsi="Times New Roman" w:cs="Times New Roman"/>
            </w:rPr>
          </w:pPr>
          <w:r w:rsidRPr="006862EB">
            <w:rPr>
              <w:rFonts w:ascii="Times New Roman" w:hAnsi="Times New Roman" w:cs="Times New Roman"/>
              <w:sz w:val="52"/>
              <w:szCs w:val="52"/>
            </w:rPr>
            <w:t xml:space="preserve"> </w:t>
          </w:r>
          <w:r w:rsidRPr="006862EB">
            <w:rPr>
              <w:rFonts w:ascii="Times New Roman" w:hAnsi="Times New Roman" w:cs="Times New Roman"/>
              <w:sz w:val="52"/>
              <w:szCs w:val="52"/>
            </w:rPr>
            <w:t>11. Future Scope</w:t>
          </w:r>
        </w:p>
      </w:sdtContent>
    </w:sdt>
    <w:p w14:paraId="2D5B2A8A" w14:textId="77777777" w:rsidR="00710C56" w:rsidRPr="006862EB" w:rsidRDefault="00000000">
      <w:pPr>
        <w:rPr>
          <w:rFonts w:ascii="Times New Roman" w:hAnsi="Times New Roman" w:cs="Times New Roman"/>
        </w:rPr>
      </w:pPr>
      <w:r w:rsidRPr="006862EB">
        <w:rPr>
          <w:rFonts w:ascii="Times New Roman" w:hAnsi="Times New Roman" w:cs="Times New Roman"/>
        </w:rPr>
        <w:br w:type="page"/>
      </w:r>
    </w:p>
    <w:p w14:paraId="1D7BAA5B" w14:textId="77777777" w:rsidR="00710C56" w:rsidRPr="006862EB" w:rsidRDefault="00000000">
      <w:pPr>
        <w:pStyle w:val="Heading1"/>
        <w:pBdr>
          <w:bottom w:val="single" w:sz="6" w:space="4" w:color="2E75B6"/>
        </w:pBdr>
        <w:rPr>
          <w:rFonts w:ascii="Times New Roman" w:hAnsi="Times New Roman" w:cs="Times New Roman"/>
          <w:sz w:val="44"/>
          <w:szCs w:val="44"/>
        </w:rPr>
      </w:pPr>
      <w:bookmarkStart w:id="1" w:name="_Toc234529042"/>
      <w:r w:rsidRPr="006862EB">
        <w:rPr>
          <w:rFonts w:ascii="Times New Roman" w:hAnsi="Times New Roman" w:cs="Times New Roman"/>
          <w:sz w:val="44"/>
          <w:szCs w:val="44"/>
        </w:rPr>
        <w:lastRenderedPageBreak/>
        <w:t>1. Introduction</w:t>
      </w:r>
      <w:bookmarkEnd w:id="1"/>
    </w:p>
    <w:p w14:paraId="2C431DB5" w14:textId="77777777" w:rsidR="00710C56" w:rsidRPr="006862EB" w:rsidRDefault="00000000">
      <w:pPr>
        <w:spacing w:after="160" w:line="300" w:lineRule="auto"/>
        <w:jc w:val="both"/>
        <w:rPr>
          <w:rFonts w:ascii="Times New Roman" w:hAnsi="Times New Roman" w:cs="Times New Roman"/>
          <w:sz w:val="32"/>
          <w:szCs w:val="32"/>
        </w:rPr>
      </w:pPr>
      <w:r w:rsidRPr="006862EB">
        <w:rPr>
          <w:rFonts w:ascii="Times New Roman" w:hAnsi="Times New Roman" w:cs="Times New Roman"/>
          <w:sz w:val="32"/>
          <w:szCs w:val="32"/>
        </w:rPr>
        <w:t xml:space="preserve">Mutual funds are one of the most popular investment options because they allow investors to diversify their investments while being managed by professional fund managers. </w:t>
      </w:r>
      <w:proofErr w:type="spellStart"/>
      <w:r w:rsidRPr="006862EB">
        <w:rPr>
          <w:rFonts w:ascii="Times New Roman" w:hAnsi="Times New Roman" w:cs="Times New Roman"/>
          <w:sz w:val="32"/>
          <w:szCs w:val="32"/>
        </w:rPr>
        <w:t>Analyzing</w:t>
      </w:r>
      <w:proofErr w:type="spellEnd"/>
      <w:r w:rsidRPr="006862EB">
        <w:rPr>
          <w:rFonts w:ascii="Times New Roman" w:hAnsi="Times New Roman" w:cs="Times New Roman"/>
          <w:sz w:val="32"/>
          <w:szCs w:val="32"/>
        </w:rPr>
        <w:t xml:space="preserve"> mutual fund performance helps investors understand returns, risk, and overall fund quality before making investment decisions.</w:t>
      </w:r>
    </w:p>
    <w:p w14:paraId="25D76885" w14:textId="77777777" w:rsidR="00710C56" w:rsidRPr="006862EB" w:rsidRDefault="00000000">
      <w:pPr>
        <w:spacing w:after="160" w:line="300" w:lineRule="auto"/>
        <w:jc w:val="both"/>
        <w:rPr>
          <w:rFonts w:ascii="Times New Roman" w:hAnsi="Times New Roman" w:cs="Times New Roman"/>
          <w:sz w:val="32"/>
          <w:szCs w:val="32"/>
        </w:rPr>
      </w:pPr>
      <w:r w:rsidRPr="006862EB">
        <w:rPr>
          <w:rFonts w:ascii="Times New Roman" w:hAnsi="Times New Roman" w:cs="Times New Roman"/>
          <w:sz w:val="32"/>
          <w:szCs w:val="32"/>
        </w:rPr>
        <w:t>In this project, a complete Mutual Fund Analytics System was developed using Python, SQL, and Power BI. The project collects and cleans mutual fund data, stores it in a SQLite database, performs exploratory data analysis, calculates important financial metrics such as Sharpe Ratio, Beta, Historical Value at Risk (</w:t>
      </w:r>
      <w:proofErr w:type="spellStart"/>
      <w:r w:rsidRPr="006862EB">
        <w:rPr>
          <w:rFonts w:ascii="Times New Roman" w:hAnsi="Times New Roman" w:cs="Times New Roman"/>
          <w:sz w:val="32"/>
          <w:szCs w:val="32"/>
        </w:rPr>
        <w:t>VaR</w:t>
      </w:r>
      <w:proofErr w:type="spellEnd"/>
      <w:r w:rsidRPr="006862EB">
        <w:rPr>
          <w:rFonts w:ascii="Times New Roman" w:hAnsi="Times New Roman" w:cs="Times New Roman"/>
          <w:sz w:val="32"/>
          <w:szCs w:val="32"/>
        </w:rPr>
        <w:t>), Conditional Value at Risk (CVaR), and Rolling Sharpe Ratio, and visualizes the results using an interactive Power BI dashboard.</w:t>
      </w:r>
    </w:p>
    <w:p w14:paraId="53D17FE5" w14:textId="77777777" w:rsidR="00710C56" w:rsidRPr="006862EB" w:rsidRDefault="00000000">
      <w:pPr>
        <w:spacing w:after="160" w:line="300" w:lineRule="auto"/>
        <w:jc w:val="both"/>
        <w:rPr>
          <w:rFonts w:ascii="Times New Roman" w:hAnsi="Times New Roman" w:cs="Times New Roman"/>
          <w:sz w:val="32"/>
          <w:szCs w:val="32"/>
        </w:rPr>
      </w:pPr>
      <w:r w:rsidRPr="006862EB">
        <w:rPr>
          <w:rFonts w:ascii="Times New Roman" w:hAnsi="Times New Roman" w:cs="Times New Roman"/>
          <w:sz w:val="32"/>
          <w:szCs w:val="32"/>
        </w:rPr>
        <w:t>The project also includes advanced analytics such as investor cohort analysis, SIP continuity analysis, sector concentration analysis using the Herfindahl–Hirschman Index (HHI), and a simple mutual fund recommendation system based on investor risk appetite.</w:t>
      </w:r>
    </w:p>
    <w:p w14:paraId="27245C45" w14:textId="77777777" w:rsidR="00710C56" w:rsidRPr="006862EB" w:rsidRDefault="00000000">
      <w:pPr>
        <w:spacing w:after="160" w:line="300" w:lineRule="auto"/>
        <w:jc w:val="both"/>
        <w:rPr>
          <w:rFonts w:ascii="Times New Roman" w:hAnsi="Times New Roman" w:cs="Times New Roman"/>
        </w:rPr>
      </w:pPr>
      <w:r w:rsidRPr="006862EB">
        <w:rPr>
          <w:rFonts w:ascii="Times New Roman" w:hAnsi="Times New Roman" w:cs="Times New Roman"/>
          <w:sz w:val="32"/>
          <w:szCs w:val="32"/>
        </w:rPr>
        <w:t>This project demonstrates how data engineering, financial analytics, and business intelligence tools can be combined to support better investment decision-making</w:t>
      </w:r>
      <w:r w:rsidRPr="006862EB">
        <w:rPr>
          <w:rFonts w:ascii="Times New Roman" w:hAnsi="Times New Roman" w:cs="Times New Roman"/>
        </w:rPr>
        <w:t>.</w:t>
      </w:r>
    </w:p>
    <w:p w14:paraId="38F48202" w14:textId="77777777" w:rsidR="00710C56" w:rsidRPr="006862EB" w:rsidRDefault="00000000">
      <w:pPr>
        <w:rPr>
          <w:rFonts w:ascii="Times New Roman" w:hAnsi="Times New Roman" w:cs="Times New Roman"/>
        </w:rPr>
      </w:pPr>
      <w:r w:rsidRPr="006862EB">
        <w:rPr>
          <w:rFonts w:ascii="Times New Roman" w:hAnsi="Times New Roman" w:cs="Times New Roman"/>
        </w:rPr>
        <w:br w:type="page"/>
      </w:r>
    </w:p>
    <w:p w14:paraId="172C5062" w14:textId="77777777" w:rsidR="00710C56" w:rsidRPr="006862EB" w:rsidRDefault="00000000">
      <w:pPr>
        <w:pStyle w:val="Heading1"/>
        <w:pBdr>
          <w:bottom w:val="single" w:sz="6" w:space="4" w:color="2E75B6"/>
        </w:pBdr>
        <w:rPr>
          <w:rFonts w:ascii="Times New Roman" w:hAnsi="Times New Roman" w:cs="Times New Roman"/>
          <w:sz w:val="48"/>
          <w:szCs w:val="48"/>
        </w:rPr>
      </w:pPr>
      <w:bookmarkStart w:id="2" w:name="_Toc234529043"/>
      <w:r w:rsidRPr="006862EB">
        <w:rPr>
          <w:rFonts w:ascii="Times New Roman" w:hAnsi="Times New Roman" w:cs="Times New Roman"/>
          <w:sz w:val="48"/>
          <w:szCs w:val="48"/>
        </w:rPr>
        <w:lastRenderedPageBreak/>
        <w:t>2. Objectives</w:t>
      </w:r>
      <w:bookmarkEnd w:id="2"/>
    </w:p>
    <w:p w14:paraId="1A148849" w14:textId="77777777" w:rsidR="00710C56" w:rsidRPr="006862EB" w:rsidRDefault="00000000">
      <w:pPr>
        <w:pStyle w:val="ListParagraph"/>
        <w:numPr>
          <w:ilvl w:val="0"/>
          <w:numId w:val="2"/>
        </w:numPr>
        <w:spacing w:after="100"/>
        <w:rPr>
          <w:rFonts w:ascii="Times New Roman" w:hAnsi="Times New Roman" w:cs="Times New Roman"/>
          <w:sz w:val="40"/>
          <w:szCs w:val="40"/>
        </w:rPr>
      </w:pPr>
      <w:r w:rsidRPr="006862EB">
        <w:rPr>
          <w:rFonts w:ascii="Times New Roman" w:hAnsi="Times New Roman" w:cs="Times New Roman"/>
          <w:sz w:val="40"/>
          <w:szCs w:val="40"/>
        </w:rPr>
        <w:t>Build an automated ETL pipeline for mutual fund data.</w:t>
      </w:r>
    </w:p>
    <w:p w14:paraId="20BD1357" w14:textId="77777777" w:rsidR="00710C56" w:rsidRPr="006862EB" w:rsidRDefault="00000000">
      <w:pPr>
        <w:pStyle w:val="ListParagraph"/>
        <w:numPr>
          <w:ilvl w:val="0"/>
          <w:numId w:val="2"/>
        </w:numPr>
        <w:spacing w:after="100"/>
        <w:rPr>
          <w:rFonts w:ascii="Times New Roman" w:hAnsi="Times New Roman" w:cs="Times New Roman"/>
          <w:sz w:val="40"/>
          <w:szCs w:val="40"/>
        </w:rPr>
      </w:pPr>
      <w:r w:rsidRPr="006862EB">
        <w:rPr>
          <w:rFonts w:ascii="Times New Roman" w:hAnsi="Times New Roman" w:cs="Times New Roman"/>
          <w:sz w:val="40"/>
          <w:szCs w:val="40"/>
        </w:rPr>
        <w:t>Clean and preprocess financial datasets.</w:t>
      </w:r>
    </w:p>
    <w:p w14:paraId="109BBAA3" w14:textId="77777777" w:rsidR="00710C56" w:rsidRPr="006862EB" w:rsidRDefault="00000000">
      <w:pPr>
        <w:pStyle w:val="ListParagraph"/>
        <w:numPr>
          <w:ilvl w:val="0"/>
          <w:numId w:val="2"/>
        </w:numPr>
        <w:spacing w:after="100"/>
        <w:rPr>
          <w:rFonts w:ascii="Times New Roman" w:hAnsi="Times New Roman" w:cs="Times New Roman"/>
          <w:sz w:val="40"/>
          <w:szCs w:val="40"/>
        </w:rPr>
      </w:pPr>
      <w:r w:rsidRPr="006862EB">
        <w:rPr>
          <w:rFonts w:ascii="Times New Roman" w:hAnsi="Times New Roman" w:cs="Times New Roman"/>
          <w:sz w:val="40"/>
          <w:szCs w:val="40"/>
        </w:rPr>
        <w:t>Store processed data in SQLite.</w:t>
      </w:r>
    </w:p>
    <w:p w14:paraId="4153C460" w14:textId="77777777" w:rsidR="00710C56" w:rsidRPr="006862EB" w:rsidRDefault="00000000">
      <w:pPr>
        <w:pStyle w:val="ListParagraph"/>
        <w:numPr>
          <w:ilvl w:val="0"/>
          <w:numId w:val="2"/>
        </w:numPr>
        <w:spacing w:after="100"/>
        <w:rPr>
          <w:rFonts w:ascii="Times New Roman" w:hAnsi="Times New Roman" w:cs="Times New Roman"/>
          <w:sz w:val="40"/>
          <w:szCs w:val="40"/>
        </w:rPr>
      </w:pPr>
      <w:r w:rsidRPr="006862EB">
        <w:rPr>
          <w:rFonts w:ascii="Times New Roman" w:hAnsi="Times New Roman" w:cs="Times New Roman"/>
          <w:sz w:val="40"/>
          <w:szCs w:val="40"/>
        </w:rPr>
        <w:t>Perform exploratory data analysis.</w:t>
      </w:r>
    </w:p>
    <w:p w14:paraId="45A16374" w14:textId="77777777" w:rsidR="00710C56" w:rsidRPr="006862EB" w:rsidRDefault="00000000">
      <w:pPr>
        <w:pStyle w:val="ListParagraph"/>
        <w:numPr>
          <w:ilvl w:val="0"/>
          <w:numId w:val="2"/>
        </w:numPr>
        <w:spacing w:after="100"/>
        <w:rPr>
          <w:rFonts w:ascii="Times New Roman" w:hAnsi="Times New Roman" w:cs="Times New Roman"/>
          <w:sz w:val="40"/>
          <w:szCs w:val="40"/>
        </w:rPr>
      </w:pPr>
      <w:r w:rsidRPr="006862EB">
        <w:rPr>
          <w:rFonts w:ascii="Times New Roman" w:hAnsi="Times New Roman" w:cs="Times New Roman"/>
          <w:sz w:val="40"/>
          <w:szCs w:val="40"/>
        </w:rPr>
        <w:t>Calculate financial performance metrics.</w:t>
      </w:r>
    </w:p>
    <w:p w14:paraId="5B71250B" w14:textId="77777777" w:rsidR="00710C56" w:rsidRPr="006862EB" w:rsidRDefault="00000000">
      <w:pPr>
        <w:pStyle w:val="ListParagraph"/>
        <w:numPr>
          <w:ilvl w:val="0"/>
          <w:numId w:val="2"/>
        </w:numPr>
        <w:spacing w:after="100"/>
        <w:rPr>
          <w:rFonts w:ascii="Times New Roman" w:hAnsi="Times New Roman" w:cs="Times New Roman"/>
          <w:sz w:val="40"/>
          <w:szCs w:val="40"/>
        </w:rPr>
      </w:pPr>
      <w:proofErr w:type="spellStart"/>
      <w:r w:rsidRPr="006862EB">
        <w:rPr>
          <w:rFonts w:ascii="Times New Roman" w:hAnsi="Times New Roman" w:cs="Times New Roman"/>
          <w:sz w:val="40"/>
          <w:szCs w:val="40"/>
        </w:rPr>
        <w:t>Analyze</w:t>
      </w:r>
      <w:proofErr w:type="spellEnd"/>
      <w:r w:rsidRPr="006862EB">
        <w:rPr>
          <w:rFonts w:ascii="Times New Roman" w:hAnsi="Times New Roman" w:cs="Times New Roman"/>
          <w:sz w:val="40"/>
          <w:szCs w:val="40"/>
        </w:rPr>
        <w:t xml:space="preserve"> investment risk using </w:t>
      </w:r>
      <w:proofErr w:type="spellStart"/>
      <w:r w:rsidRPr="006862EB">
        <w:rPr>
          <w:rFonts w:ascii="Times New Roman" w:hAnsi="Times New Roman" w:cs="Times New Roman"/>
          <w:sz w:val="40"/>
          <w:szCs w:val="40"/>
        </w:rPr>
        <w:t>VaR</w:t>
      </w:r>
      <w:proofErr w:type="spellEnd"/>
      <w:r w:rsidRPr="006862EB">
        <w:rPr>
          <w:rFonts w:ascii="Times New Roman" w:hAnsi="Times New Roman" w:cs="Times New Roman"/>
          <w:sz w:val="40"/>
          <w:szCs w:val="40"/>
        </w:rPr>
        <w:t xml:space="preserve"> and CVaR.</w:t>
      </w:r>
    </w:p>
    <w:p w14:paraId="1EA6F0EA" w14:textId="77777777" w:rsidR="00710C56" w:rsidRPr="006862EB" w:rsidRDefault="00000000">
      <w:pPr>
        <w:pStyle w:val="ListParagraph"/>
        <w:numPr>
          <w:ilvl w:val="0"/>
          <w:numId w:val="2"/>
        </w:numPr>
        <w:spacing w:after="100"/>
        <w:rPr>
          <w:rFonts w:ascii="Times New Roman" w:hAnsi="Times New Roman" w:cs="Times New Roman"/>
          <w:sz w:val="40"/>
          <w:szCs w:val="40"/>
        </w:rPr>
      </w:pPr>
      <w:r w:rsidRPr="006862EB">
        <w:rPr>
          <w:rFonts w:ascii="Times New Roman" w:hAnsi="Times New Roman" w:cs="Times New Roman"/>
          <w:sz w:val="40"/>
          <w:szCs w:val="40"/>
        </w:rPr>
        <w:t>Develop advanced investor analytics.</w:t>
      </w:r>
    </w:p>
    <w:p w14:paraId="0574F34A" w14:textId="77777777" w:rsidR="00710C56" w:rsidRPr="006862EB" w:rsidRDefault="00000000">
      <w:pPr>
        <w:pStyle w:val="ListParagraph"/>
        <w:numPr>
          <w:ilvl w:val="0"/>
          <w:numId w:val="2"/>
        </w:numPr>
        <w:spacing w:after="100"/>
        <w:rPr>
          <w:rFonts w:ascii="Times New Roman" w:hAnsi="Times New Roman" w:cs="Times New Roman"/>
          <w:sz w:val="40"/>
          <w:szCs w:val="40"/>
        </w:rPr>
      </w:pPr>
      <w:r w:rsidRPr="006862EB">
        <w:rPr>
          <w:rFonts w:ascii="Times New Roman" w:hAnsi="Times New Roman" w:cs="Times New Roman"/>
          <w:sz w:val="40"/>
          <w:szCs w:val="40"/>
        </w:rPr>
        <w:t>Build an interactive Power BI dashboard.</w:t>
      </w:r>
    </w:p>
    <w:p w14:paraId="72A60CC9" w14:textId="77777777" w:rsidR="00710C56" w:rsidRPr="006862EB" w:rsidRDefault="00000000">
      <w:pPr>
        <w:pStyle w:val="ListParagraph"/>
        <w:numPr>
          <w:ilvl w:val="0"/>
          <w:numId w:val="2"/>
        </w:numPr>
        <w:spacing w:after="100"/>
        <w:rPr>
          <w:rFonts w:ascii="Times New Roman" w:hAnsi="Times New Roman" w:cs="Times New Roman"/>
          <w:sz w:val="40"/>
          <w:szCs w:val="40"/>
        </w:rPr>
      </w:pPr>
      <w:r w:rsidRPr="006862EB">
        <w:rPr>
          <w:rFonts w:ascii="Times New Roman" w:hAnsi="Times New Roman" w:cs="Times New Roman"/>
          <w:sz w:val="40"/>
          <w:szCs w:val="40"/>
        </w:rPr>
        <w:t>Generate meaningful investment insights.</w:t>
      </w:r>
    </w:p>
    <w:p w14:paraId="67456FFB" w14:textId="77777777" w:rsidR="00710C56" w:rsidRPr="006862EB" w:rsidRDefault="00000000">
      <w:pPr>
        <w:pStyle w:val="ListParagraph"/>
        <w:numPr>
          <w:ilvl w:val="0"/>
          <w:numId w:val="2"/>
        </w:numPr>
        <w:spacing w:after="100"/>
        <w:rPr>
          <w:rFonts w:ascii="Times New Roman" w:hAnsi="Times New Roman" w:cs="Times New Roman"/>
        </w:rPr>
      </w:pPr>
      <w:r w:rsidRPr="006862EB">
        <w:rPr>
          <w:rFonts w:ascii="Times New Roman" w:hAnsi="Times New Roman" w:cs="Times New Roman"/>
          <w:sz w:val="40"/>
          <w:szCs w:val="40"/>
        </w:rPr>
        <w:t>Recommend suitable mutual funds based on investor risk profile</w:t>
      </w:r>
      <w:r w:rsidRPr="006862EB">
        <w:rPr>
          <w:rFonts w:ascii="Times New Roman" w:hAnsi="Times New Roman" w:cs="Times New Roman"/>
        </w:rPr>
        <w:t>.</w:t>
      </w:r>
    </w:p>
    <w:p w14:paraId="6DE5DEDA" w14:textId="77777777" w:rsidR="00710C56" w:rsidRPr="006862EB" w:rsidRDefault="00000000">
      <w:pPr>
        <w:rPr>
          <w:rFonts w:ascii="Times New Roman" w:hAnsi="Times New Roman" w:cs="Times New Roman"/>
        </w:rPr>
      </w:pPr>
      <w:r w:rsidRPr="006862EB">
        <w:rPr>
          <w:rFonts w:ascii="Times New Roman" w:hAnsi="Times New Roman" w:cs="Times New Roman"/>
        </w:rPr>
        <w:br w:type="page"/>
      </w:r>
    </w:p>
    <w:p w14:paraId="26A335E7" w14:textId="77777777" w:rsidR="00710C56" w:rsidRPr="006862EB" w:rsidRDefault="00000000">
      <w:pPr>
        <w:pStyle w:val="Heading1"/>
        <w:pBdr>
          <w:bottom w:val="single" w:sz="6" w:space="4" w:color="2E75B6"/>
        </w:pBdr>
        <w:rPr>
          <w:rFonts w:ascii="Times New Roman" w:hAnsi="Times New Roman" w:cs="Times New Roman"/>
          <w:sz w:val="48"/>
          <w:szCs w:val="48"/>
        </w:rPr>
      </w:pPr>
      <w:bookmarkStart w:id="3" w:name="_Toc234529044"/>
      <w:r w:rsidRPr="006862EB">
        <w:rPr>
          <w:rFonts w:ascii="Times New Roman" w:hAnsi="Times New Roman" w:cs="Times New Roman"/>
          <w:sz w:val="48"/>
          <w:szCs w:val="48"/>
        </w:rPr>
        <w:lastRenderedPageBreak/>
        <w:t>3. Dataset Description</w:t>
      </w:r>
      <w:bookmarkEnd w:id="3"/>
    </w:p>
    <w:p w14:paraId="5E579730" w14:textId="77777777" w:rsidR="00710C56" w:rsidRPr="006862EB" w:rsidRDefault="00000000">
      <w:pPr>
        <w:spacing w:after="160" w:line="300" w:lineRule="auto"/>
        <w:jc w:val="both"/>
        <w:rPr>
          <w:rFonts w:ascii="Times New Roman" w:hAnsi="Times New Roman" w:cs="Times New Roman"/>
          <w:sz w:val="32"/>
          <w:szCs w:val="32"/>
        </w:rPr>
      </w:pPr>
      <w:r w:rsidRPr="006862EB">
        <w:rPr>
          <w:rFonts w:ascii="Times New Roman" w:hAnsi="Times New Roman" w:cs="Times New Roman"/>
          <w:sz w:val="32"/>
          <w:szCs w:val="32"/>
        </w:rPr>
        <w:t>The analysis draws on eight structured datasets covering fund master information, historical NAV records, performance metrics, investor transactions, demographics, portfolio holdings, AUM, and SIP inflows. Together these datasets form the foundation for the ETL pipeline and downstream analytics.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33"/>
        <w:gridCol w:w="5767"/>
      </w:tblGrid>
      <w:tr w:rsidR="00710C56" w:rsidRPr="006862EB" w14:paraId="50950C8D" w14:textId="77777777">
        <w:tblPrEx>
          <w:tblCellMar>
            <w:top w:w="0" w:type="dxa"/>
            <w:bottom w:w="0" w:type="dxa"/>
          </w:tblCellMar>
        </w:tblPrEx>
        <w:trPr>
          <w:tblHeader/>
        </w:trPr>
        <w:tc>
          <w:tcPr>
            <w:tcW w:w="2600" w:type="dxa"/>
            <w:shd w:val="clear" w:color="auto" w:fill="1F4E79"/>
            <w:tcMar>
              <w:top w:w="100" w:type="dxa"/>
              <w:left w:w="120" w:type="dxa"/>
              <w:bottom w:w="100" w:type="dxa"/>
              <w:right w:w="120" w:type="dxa"/>
            </w:tcMar>
          </w:tcPr>
          <w:p w14:paraId="614FF616"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b/>
                <w:bCs/>
                <w:color w:val="FFFFFF"/>
                <w:sz w:val="32"/>
                <w:szCs w:val="32"/>
              </w:rPr>
              <w:t>Dataset</w:t>
            </w:r>
          </w:p>
        </w:tc>
        <w:tc>
          <w:tcPr>
            <w:tcW w:w="6900" w:type="dxa"/>
            <w:shd w:val="clear" w:color="auto" w:fill="1F4E79"/>
            <w:tcMar>
              <w:top w:w="100" w:type="dxa"/>
              <w:left w:w="120" w:type="dxa"/>
              <w:bottom w:w="100" w:type="dxa"/>
              <w:right w:w="120" w:type="dxa"/>
            </w:tcMar>
          </w:tcPr>
          <w:p w14:paraId="53A0882D"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b/>
                <w:bCs/>
                <w:color w:val="FFFFFF"/>
                <w:sz w:val="32"/>
                <w:szCs w:val="32"/>
              </w:rPr>
              <w:t>Description</w:t>
            </w:r>
          </w:p>
        </w:tc>
      </w:tr>
      <w:tr w:rsidR="00710C56" w:rsidRPr="006862EB" w14:paraId="58FB6DFE" w14:textId="77777777">
        <w:tblPrEx>
          <w:tblCellMar>
            <w:top w:w="0" w:type="dxa"/>
            <w:bottom w:w="0" w:type="dxa"/>
          </w:tblCellMar>
        </w:tblPrEx>
        <w:tc>
          <w:tcPr>
            <w:tcW w:w="2600" w:type="dxa"/>
            <w:tcMar>
              <w:top w:w="100" w:type="dxa"/>
              <w:left w:w="120" w:type="dxa"/>
              <w:bottom w:w="100" w:type="dxa"/>
              <w:right w:w="120" w:type="dxa"/>
            </w:tcMar>
          </w:tcPr>
          <w:p w14:paraId="010F4DC6"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color w:val="000000"/>
                <w:sz w:val="32"/>
                <w:szCs w:val="32"/>
              </w:rPr>
              <w:t>fund_master.csv</w:t>
            </w:r>
          </w:p>
        </w:tc>
        <w:tc>
          <w:tcPr>
            <w:tcW w:w="6900" w:type="dxa"/>
            <w:tcMar>
              <w:top w:w="100" w:type="dxa"/>
              <w:left w:w="120" w:type="dxa"/>
              <w:bottom w:w="100" w:type="dxa"/>
              <w:right w:w="120" w:type="dxa"/>
            </w:tcMar>
          </w:tcPr>
          <w:p w14:paraId="43276285"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color w:val="000000"/>
                <w:sz w:val="32"/>
                <w:szCs w:val="32"/>
              </w:rPr>
              <w:t>Contains scheme names, codes, fund house, category, and other master information.</w:t>
            </w:r>
          </w:p>
        </w:tc>
      </w:tr>
      <w:tr w:rsidR="00710C56" w:rsidRPr="006862EB" w14:paraId="2FEC2FB1" w14:textId="77777777">
        <w:tblPrEx>
          <w:tblCellMar>
            <w:top w:w="0" w:type="dxa"/>
            <w:bottom w:w="0" w:type="dxa"/>
          </w:tblCellMar>
        </w:tblPrEx>
        <w:tc>
          <w:tcPr>
            <w:tcW w:w="2600" w:type="dxa"/>
            <w:tcMar>
              <w:top w:w="100" w:type="dxa"/>
              <w:left w:w="120" w:type="dxa"/>
              <w:bottom w:w="100" w:type="dxa"/>
              <w:right w:w="120" w:type="dxa"/>
            </w:tcMar>
          </w:tcPr>
          <w:p w14:paraId="40B7A13C"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color w:val="000000"/>
                <w:sz w:val="32"/>
                <w:szCs w:val="32"/>
              </w:rPr>
              <w:t>nav_history.csv</w:t>
            </w:r>
          </w:p>
        </w:tc>
        <w:tc>
          <w:tcPr>
            <w:tcW w:w="6900" w:type="dxa"/>
            <w:tcMar>
              <w:top w:w="100" w:type="dxa"/>
              <w:left w:w="120" w:type="dxa"/>
              <w:bottom w:w="100" w:type="dxa"/>
              <w:right w:w="120" w:type="dxa"/>
            </w:tcMar>
          </w:tcPr>
          <w:p w14:paraId="5FB14D37"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color w:val="000000"/>
                <w:sz w:val="32"/>
                <w:szCs w:val="32"/>
              </w:rPr>
              <w:t>Stores historical NAV values used for return calculations.</w:t>
            </w:r>
          </w:p>
        </w:tc>
      </w:tr>
      <w:tr w:rsidR="00710C56" w:rsidRPr="006862EB" w14:paraId="36D4B33E" w14:textId="77777777">
        <w:tblPrEx>
          <w:tblCellMar>
            <w:top w:w="0" w:type="dxa"/>
            <w:bottom w:w="0" w:type="dxa"/>
          </w:tblCellMar>
        </w:tblPrEx>
        <w:tc>
          <w:tcPr>
            <w:tcW w:w="2600" w:type="dxa"/>
            <w:tcMar>
              <w:top w:w="100" w:type="dxa"/>
              <w:left w:w="120" w:type="dxa"/>
              <w:bottom w:w="100" w:type="dxa"/>
              <w:right w:w="120" w:type="dxa"/>
            </w:tcMar>
          </w:tcPr>
          <w:p w14:paraId="12EE64AF"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color w:val="000000"/>
                <w:sz w:val="32"/>
                <w:szCs w:val="32"/>
              </w:rPr>
              <w:t>scheme_performance.csv</w:t>
            </w:r>
          </w:p>
        </w:tc>
        <w:tc>
          <w:tcPr>
            <w:tcW w:w="6900" w:type="dxa"/>
            <w:tcMar>
              <w:top w:w="100" w:type="dxa"/>
              <w:left w:w="120" w:type="dxa"/>
              <w:bottom w:w="100" w:type="dxa"/>
              <w:right w:w="120" w:type="dxa"/>
            </w:tcMar>
          </w:tcPr>
          <w:p w14:paraId="5E9936B5"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color w:val="000000"/>
                <w:sz w:val="32"/>
                <w:szCs w:val="32"/>
              </w:rPr>
              <w:t>Contains returns, expense ratio, risk grade, and performance metrics.</w:t>
            </w:r>
          </w:p>
        </w:tc>
      </w:tr>
      <w:tr w:rsidR="00710C56" w:rsidRPr="006862EB" w14:paraId="520A8C64" w14:textId="77777777">
        <w:tblPrEx>
          <w:tblCellMar>
            <w:top w:w="0" w:type="dxa"/>
            <w:bottom w:w="0" w:type="dxa"/>
          </w:tblCellMar>
        </w:tblPrEx>
        <w:tc>
          <w:tcPr>
            <w:tcW w:w="2600" w:type="dxa"/>
            <w:tcMar>
              <w:top w:w="100" w:type="dxa"/>
              <w:left w:w="120" w:type="dxa"/>
              <w:bottom w:w="100" w:type="dxa"/>
              <w:right w:w="120" w:type="dxa"/>
            </w:tcMar>
          </w:tcPr>
          <w:p w14:paraId="18ED242C"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color w:val="000000"/>
                <w:sz w:val="32"/>
                <w:szCs w:val="32"/>
              </w:rPr>
              <w:t>investor_transactions.csv</w:t>
            </w:r>
          </w:p>
        </w:tc>
        <w:tc>
          <w:tcPr>
            <w:tcW w:w="6900" w:type="dxa"/>
            <w:tcMar>
              <w:top w:w="100" w:type="dxa"/>
              <w:left w:w="120" w:type="dxa"/>
              <w:bottom w:w="100" w:type="dxa"/>
              <w:right w:w="120" w:type="dxa"/>
            </w:tcMar>
          </w:tcPr>
          <w:p w14:paraId="5C916CDF"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color w:val="000000"/>
                <w:sz w:val="32"/>
                <w:szCs w:val="32"/>
              </w:rPr>
              <w:t>Stores SIP, Lumpsum, and Redemption transactions.</w:t>
            </w:r>
          </w:p>
        </w:tc>
      </w:tr>
      <w:tr w:rsidR="00710C56" w:rsidRPr="006862EB" w14:paraId="0CA24F2A" w14:textId="77777777">
        <w:tblPrEx>
          <w:tblCellMar>
            <w:top w:w="0" w:type="dxa"/>
            <w:bottom w:w="0" w:type="dxa"/>
          </w:tblCellMar>
        </w:tblPrEx>
        <w:tc>
          <w:tcPr>
            <w:tcW w:w="2600" w:type="dxa"/>
            <w:tcMar>
              <w:top w:w="100" w:type="dxa"/>
              <w:left w:w="120" w:type="dxa"/>
              <w:bottom w:w="100" w:type="dxa"/>
              <w:right w:w="120" w:type="dxa"/>
            </w:tcMar>
          </w:tcPr>
          <w:p w14:paraId="79B8A8F3"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color w:val="000000"/>
                <w:sz w:val="32"/>
                <w:szCs w:val="32"/>
              </w:rPr>
              <w:t>investor_demographics.csv</w:t>
            </w:r>
          </w:p>
        </w:tc>
        <w:tc>
          <w:tcPr>
            <w:tcW w:w="6900" w:type="dxa"/>
            <w:tcMar>
              <w:top w:w="100" w:type="dxa"/>
              <w:left w:w="120" w:type="dxa"/>
              <w:bottom w:w="100" w:type="dxa"/>
              <w:right w:w="120" w:type="dxa"/>
            </w:tcMar>
          </w:tcPr>
          <w:p w14:paraId="3C365D33"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color w:val="000000"/>
                <w:sz w:val="32"/>
                <w:szCs w:val="32"/>
              </w:rPr>
              <w:t>Contains investor demographic details.</w:t>
            </w:r>
          </w:p>
        </w:tc>
      </w:tr>
      <w:tr w:rsidR="00710C56" w:rsidRPr="006862EB" w14:paraId="6E94A585" w14:textId="77777777">
        <w:tblPrEx>
          <w:tblCellMar>
            <w:top w:w="0" w:type="dxa"/>
            <w:bottom w:w="0" w:type="dxa"/>
          </w:tblCellMar>
        </w:tblPrEx>
        <w:tc>
          <w:tcPr>
            <w:tcW w:w="2600" w:type="dxa"/>
            <w:tcMar>
              <w:top w:w="100" w:type="dxa"/>
              <w:left w:w="120" w:type="dxa"/>
              <w:bottom w:w="100" w:type="dxa"/>
              <w:right w:w="120" w:type="dxa"/>
            </w:tcMar>
          </w:tcPr>
          <w:p w14:paraId="49C3A55F"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color w:val="000000"/>
                <w:sz w:val="32"/>
                <w:szCs w:val="32"/>
              </w:rPr>
              <w:t>portfolio_holdings.csv</w:t>
            </w:r>
          </w:p>
        </w:tc>
        <w:tc>
          <w:tcPr>
            <w:tcW w:w="6900" w:type="dxa"/>
            <w:tcMar>
              <w:top w:w="100" w:type="dxa"/>
              <w:left w:w="120" w:type="dxa"/>
              <w:bottom w:w="100" w:type="dxa"/>
              <w:right w:w="120" w:type="dxa"/>
            </w:tcMar>
          </w:tcPr>
          <w:p w14:paraId="71AC004E"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color w:val="000000"/>
                <w:sz w:val="32"/>
                <w:szCs w:val="32"/>
              </w:rPr>
              <w:t>Contains portfolio holdings and sector allocation.</w:t>
            </w:r>
          </w:p>
        </w:tc>
      </w:tr>
      <w:tr w:rsidR="00710C56" w:rsidRPr="006862EB" w14:paraId="3DEF505C" w14:textId="77777777">
        <w:tblPrEx>
          <w:tblCellMar>
            <w:top w:w="0" w:type="dxa"/>
            <w:bottom w:w="0" w:type="dxa"/>
          </w:tblCellMar>
        </w:tblPrEx>
        <w:tc>
          <w:tcPr>
            <w:tcW w:w="2600" w:type="dxa"/>
            <w:tcMar>
              <w:top w:w="100" w:type="dxa"/>
              <w:left w:w="120" w:type="dxa"/>
              <w:bottom w:w="100" w:type="dxa"/>
              <w:right w:w="120" w:type="dxa"/>
            </w:tcMar>
          </w:tcPr>
          <w:p w14:paraId="579EE2D0"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color w:val="000000"/>
                <w:sz w:val="32"/>
                <w:szCs w:val="32"/>
              </w:rPr>
              <w:t>aum.csv</w:t>
            </w:r>
          </w:p>
        </w:tc>
        <w:tc>
          <w:tcPr>
            <w:tcW w:w="6900" w:type="dxa"/>
            <w:tcMar>
              <w:top w:w="100" w:type="dxa"/>
              <w:left w:w="120" w:type="dxa"/>
              <w:bottom w:w="100" w:type="dxa"/>
              <w:right w:w="120" w:type="dxa"/>
            </w:tcMar>
          </w:tcPr>
          <w:p w14:paraId="05703D60"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color w:val="000000"/>
                <w:sz w:val="32"/>
                <w:szCs w:val="32"/>
              </w:rPr>
              <w:t>Contains Assets Under Management information.</w:t>
            </w:r>
          </w:p>
        </w:tc>
      </w:tr>
      <w:tr w:rsidR="00710C56" w:rsidRPr="006862EB" w14:paraId="5130E663" w14:textId="77777777">
        <w:tblPrEx>
          <w:tblCellMar>
            <w:top w:w="0" w:type="dxa"/>
            <w:bottom w:w="0" w:type="dxa"/>
          </w:tblCellMar>
        </w:tblPrEx>
        <w:tc>
          <w:tcPr>
            <w:tcW w:w="2600" w:type="dxa"/>
            <w:tcMar>
              <w:top w:w="100" w:type="dxa"/>
              <w:left w:w="120" w:type="dxa"/>
              <w:bottom w:w="100" w:type="dxa"/>
              <w:right w:w="120" w:type="dxa"/>
            </w:tcMar>
          </w:tcPr>
          <w:p w14:paraId="20EAB403"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color w:val="000000"/>
                <w:sz w:val="32"/>
                <w:szCs w:val="32"/>
              </w:rPr>
              <w:t>sip_inflows.csv</w:t>
            </w:r>
          </w:p>
        </w:tc>
        <w:tc>
          <w:tcPr>
            <w:tcW w:w="6900" w:type="dxa"/>
            <w:tcMar>
              <w:top w:w="100" w:type="dxa"/>
              <w:left w:w="120" w:type="dxa"/>
              <w:bottom w:w="100" w:type="dxa"/>
              <w:right w:w="120" w:type="dxa"/>
            </w:tcMar>
          </w:tcPr>
          <w:p w14:paraId="6708A1B7"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color w:val="000000"/>
                <w:sz w:val="32"/>
                <w:szCs w:val="32"/>
              </w:rPr>
              <w:t>Contains SIP inflow details for mutual funds.</w:t>
            </w:r>
          </w:p>
        </w:tc>
      </w:tr>
    </w:tbl>
    <w:p w14:paraId="5C0335EF" w14:textId="77777777" w:rsidR="00710C56" w:rsidRPr="006862EB" w:rsidRDefault="00000000">
      <w:pPr>
        <w:rPr>
          <w:rFonts w:ascii="Times New Roman" w:hAnsi="Times New Roman" w:cs="Times New Roman"/>
          <w:sz w:val="32"/>
          <w:szCs w:val="32"/>
        </w:rPr>
      </w:pPr>
      <w:r w:rsidRPr="006862EB">
        <w:rPr>
          <w:rFonts w:ascii="Times New Roman" w:hAnsi="Times New Roman" w:cs="Times New Roman"/>
          <w:sz w:val="32"/>
          <w:szCs w:val="32"/>
        </w:rPr>
        <w:br w:type="page"/>
      </w:r>
    </w:p>
    <w:p w14:paraId="02390717" w14:textId="77777777" w:rsidR="00710C56" w:rsidRPr="006862EB" w:rsidRDefault="00000000">
      <w:pPr>
        <w:pStyle w:val="Heading1"/>
        <w:pBdr>
          <w:bottom w:val="single" w:sz="6" w:space="4" w:color="2E75B6"/>
        </w:pBdr>
        <w:rPr>
          <w:rFonts w:ascii="Times New Roman" w:hAnsi="Times New Roman" w:cs="Times New Roman"/>
          <w:sz w:val="44"/>
          <w:szCs w:val="44"/>
        </w:rPr>
      </w:pPr>
      <w:bookmarkStart w:id="4" w:name="_Toc234529045"/>
      <w:r w:rsidRPr="006862EB">
        <w:rPr>
          <w:rFonts w:ascii="Times New Roman" w:hAnsi="Times New Roman" w:cs="Times New Roman"/>
          <w:sz w:val="44"/>
          <w:szCs w:val="44"/>
        </w:rPr>
        <w:lastRenderedPageBreak/>
        <w:t>4. ETL Pipeline</w:t>
      </w:r>
      <w:bookmarkEnd w:id="4"/>
    </w:p>
    <w:p w14:paraId="60D1BB18" w14:textId="77777777" w:rsidR="00710C56" w:rsidRPr="006862EB" w:rsidRDefault="00000000">
      <w:pPr>
        <w:pBdr>
          <w:top w:val="single" w:sz="4" w:space="4" w:color="2E75B6"/>
          <w:left w:val="single" w:sz="4" w:space="4" w:color="2E75B6"/>
          <w:bottom w:val="single" w:sz="4" w:space="4" w:color="2E75B6"/>
          <w:right w:val="single" w:sz="4" w:space="4" w:color="2E75B6"/>
        </w:pBdr>
        <w:shd w:val="clear" w:color="auto" w:fill="D9E6F2"/>
        <w:spacing w:after="60"/>
        <w:jc w:val="center"/>
        <w:rPr>
          <w:rFonts w:ascii="Times New Roman" w:hAnsi="Times New Roman" w:cs="Times New Roman"/>
          <w:sz w:val="32"/>
          <w:szCs w:val="32"/>
        </w:rPr>
      </w:pPr>
      <w:r w:rsidRPr="006862EB">
        <w:rPr>
          <w:rFonts w:ascii="Times New Roman" w:hAnsi="Times New Roman" w:cs="Times New Roman"/>
          <w:b/>
          <w:bCs/>
          <w:color w:val="1F4E79"/>
          <w:sz w:val="32"/>
          <w:szCs w:val="32"/>
        </w:rPr>
        <w:t>Raw CSV Files</w:t>
      </w:r>
    </w:p>
    <w:p w14:paraId="69037B55" w14:textId="77777777" w:rsidR="00710C56" w:rsidRPr="006862EB" w:rsidRDefault="00000000">
      <w:pPr>
        <w:spacing w:after="60"/>
        <w:jc w:val="center"/>
        <w:rPr>
          <w:rFonts w:ascii="Times New Roman" w:hAnsi="Times New Roman" w:cs="Times New Roman"/>
          <w:sz w:val="32"/>
          <w:szCs w:val="32"/>
        </w:rPr>
      </w:pPr>
      <w:r w:rsidRPr="006862EB">
        <w:rPr>
          <w:rFonts w:ascii="Times New Roman" w:hAnsi="Times New Roman" w:cs="Times New Roman"/>
          <w:b/>
          <w:bCs/>
          <w:color w:val="2E75B6"/>
          <w:sz w:val="32"/>
          <w:szCs w:val="32"/>
        </w:rPr>
        <w:t>↓</w:t>
      </w:r>
    </w:p>
    <w:p w14:paraId="459F6723" w14:textId="77777777" w:rsidR="00710C56" w:rsidRPr="006862EB" w:rsidRDefault="00000000">
      <w:pPr>
        <w:pBdr>
          <w:top w:val="single" w:sz="4" w:space="4" w:color="2E75B6"/>
          <w:left w:val="single" w:sz="4" w:space="4" w:color="2E75B6"/>
          <w:bottom w:val="single" w:sz="4" w:space="4" w:color="2E75B6"/>
          <w:right w:val="single" w:sz="4" w:space="4" w:color="2E75B6"/>
        </w:pBdr>
        <w:shd w:val="clear" w:color="auto" w:fill="EDF3FA"/>
        <w:spacing w:after="60"/>
        <w:jc w:val="center"/>
        <w:rPr>
          <w:rFonts w:ascii="Times New Roman" w:hAnsi="Times New Roman" w:cs="Times New Roman"/>
          <w:sz w:val="32"/>
          <w:szCs w:val="32"/>
        </w:rPr>
      </w:pPr>
      <w:r w:rsidRPr="006862EB">
        <w:rPr>
          <w:rFonts w:ascii="Times New Roman" w:hAnsi="Times New Roman" w:cs="Times New Roman"/>
          <w:b/>
          <w:bCs/>
          <w:color w:val="1F4E79"/>
          <w:sz w:val="32"/>
          <w:szCs w:val="32"/>
        </w:rPr>
        <w:t>Data Ingestion</w:t>
      </w:r>
    </w:p>
    <w:p w14:paraId="0F447BD7" w14:textId="77777777" w:rsidR="00710C56" w:rsidRPr="006862EB" w:rsidRDefault="00000000">
      <w:pPr>
        <w:spacing w:after="60"/>
        <w:jc w:val="center"/>
        <w:rPr>
          <w:rFonts w:ascii="Times New Roman" w:hAnsi="Times New Roman" w:cs="Times New Roman"/>
          <w:sz w:val="32"/>
          <w:szCs w:val="32"/>
        </w:rPr>
      </w:pPr>
      <w:r w:rsidRPr="006862EB">
        <w:rPr>
          <w:rFonts w:ascii="Times New Roman" w:hAnsi="Times New Roman" w:cs="Times New Roman"/>
          <w:b/>
          <w:bCs/>
          <w:color w:val="2E75B6"/>
          <w:sz w:val="32"/>
          <w:szCs w:val="32"/>
        </w:rPr>
        <w:t>↓</w:t>
      </w:r>
    </w:p>
    <w:p w14:paraId="514F9D94" w14:textId="77777777" w:rsidR="00710C56" w:rsidRPr="006862EB" w:rsidRDefault="00000000">
      <w:pPr>
        <w:pBdr>
          <w:top w:val="single" w:sz="4" w:space="4" w:color="2E75B6"/>
          <w:left w:val="single" w:sz="4" w:space="4" w:color="2E75B6"/>
          <w:bottom w:val="single" w:sz="4" w:space="4" w:color="2E75B6"/>
          <w:right w:val="single" w:sz="4" w:space="4" w:color="2E75B6"/>
        </w:pBdr>
        <w:shd w:val="clear" w:color="auto" w:fill="D9E6F2"/>
        <w:spacing w:after="60"/>
        <w:jc w:val="center"/>
        <w:rPr>
          <w:rFonts w:ascii="Times New Roman" w:hAnsi="Times New Roman" w:cs="Times New Roman"/>
          <w:sz w:val="32"/>
          <w:szCs w:val="32"/>
        </w:rPr>
      </w:pPr>
      <w:r w:rsidRPr="006862EB">
        <w:rPr>
          <w:rFonts w:ascii="Times New Roman" w:hAnsi="Times New Roman" w:cs="Times New Roman"/>
          <w:b/>
          <w:bCs/>
          <w:color w:val="1F4E79"/>
          <w:sz w:val="32"/>
          <w:szCs w:val="32"/>
        </w:rPr>
        <w:t>Data Cleaning</w:t>
      </w:r>
    </w:p>
    <w:p w14:paraId="765D12A0" w14:textId="77777777" w:rsidR="00710C56" w:rsidRPr="006862EB" w:rsidRDefault="00000000">
      <w:pPr>
        <w:spacing w:after="60"/>
        <w:jc w:val="center"/>
        <w:rPr>
          <w:rFonts w:ascii="Times New Roman" w:hAnsi="Times New Roman" w:cs="Times New Roman"/>
          <w:sz w:val="32"/>
          <w:szCs w:val="32"/>
        </w:rPr>
      </w:pPr>
      <w:r w:rsidRPr="006862EB">
        <w:rPr>
          <w:rFonts w:ascii="Times New Roman" w:hAnsi="Times New Roman" w:cs="Times New Roman"/>
          <w:b/>
          <w:bCs/>
          <w:color w:val="2E75B6"/>
          <w:sz w:val="32"/>
          <w:szCs w:val="32"/>
        </w:rPr>
        <w:t>↓</w:t>
      </w:r>
    </w:p>
    <w:p w14:paraId="6BA0787C" w14:textId="77777777" w:rsidR="00710C56" w:rsidRPr="006862EB" w:rsidRDefault="00000000">
      <w:pPr>
        <w:pBdr>
          <w:top w:val="single" w:sz="4" w:space="4" w:color="2E75B6"/>
          <w:left w:val="single" w:sz="4" w:space="4" w:color="2E75B6"/>
          <w:bottom w:val="single" w:sz="4" w:space="4" w:color="2E75B6"/>
          <w:right w:val="single" w:sz="4" w:space="4" w:color="2E75B6"/>
        </w:pBdr>
        <w:shd w:val="clear" w:color="auto" w:fill="EDF3FA"/>
        <w:spacing w:after="60"/>
        <w:jc w:val="center"/>
        <w:rPr>
          <w:rFonts w:ascii="Times New Roman" w:hAnsi="Times New Roman" w:cs="Times New Roman"/>
          <w:sz w:val="32"/>
          <w:szCs w:val="32"/>
        </w:rPr>
      </w:pPr>
      <w:r w:rsidRPr="006862EB">
        <w:rPr>
          <w:rFonts w:ascii="Times New Roman" w:hAnsi="Times New Roman" w:cs="Times New Roman"/>
          <w:b/>
          <w:bCs/>
          <w:color w:val="1F4E79"/>
          <w:sz w:val="32"/>
          <w:szCs w:val="32"/>
        </w:rPr>
        <w:t>Processed CSV Files</w:t>
      </w:r>
    </w:p>
    <w:p w14:paraId="063B30B3" w14:textId="77777777" w:rsidR="00710C56" w:rsidRPr="006862EB" w:rsidRDefault="00000000">
      <w:pPr>
        <w:spacing w:after="60"/>
        <w:jc w:val="center"/>
        <w:rPr>
          <w:rFonts w:ascii="Times New Roman" w:hAnsi="Times New Roman" w:cs="Times New Roman"/>
          <w:sz w:val="32"/>
          <w:szCs w:val="32"/>
        </w:rPr>
      </w:pPr>
      <w:r w:rsidRPr="006862EB">
        <w:rPr>
          <w:rFonts w:ascii="Times New Roman" w:hAnsi="Times New Roman" w:cs="Times New Roman"/>
          <w:b/>
          <w:bCs/>
          <w:color w:val="2E75B6"/>
          <w:sz w:val="32"/>
          <w:szCs w:val="32"/>
        </w:rPr>
        <w:t>↓</w:t>
      </w:r>
    </w:p>
    <w:p w14:paraId="27C7FC0D" w14:textId="77777777" w:rsidR="00710C56" w:rsidRPr="006862EB" w:rsidRDefault="00000000">
      <w:pPr>
        <w:pBdr>
          <w:top w:val="single" w:sz="4" w:space="4" w:color="2E75B6"/>
          <w:left w:val="single" w:sz="4" w:space="4" w:color="2E75B6"/>
          <w:bottom w:val="single" w:sz="4" w:space="4" w:color="2E75B6"/>
          <w:right w:val="single" w:sz="4" w:space="4" w:color="2E75B6"/>
        </w:pBdr>
        <w:shd w:val="clear" w:color="auto" w:fill="D9E6F2"/>
        <w:spacing w:after="60"/>
        <w:jc w:val="center"/>
        <w:rPr>
          <w:rFonts w:ascii="Times New Roman" w:hAnsi="Times New Roman" w:cs="Times New Roman"/>
          <w:sz w:val="32"/>
          <w:szCs w:val="32"/>
        </w:rPr>
      </w:pPr>
      <w:r w:rsidRPr="006862EB">
        <w:rPr>
          <w:rFonts w:ascii="Times New Roman" w:hAnsi="Times New Roman" w:cs="Times New Roman"/>
          <w:b/>
          <w:bCs/>
          <w:color w:val="1F4E79"/>
          <w:sz w:val="32"/>
          <w:szCs w:val="32"/>
        </w:rPr>
        <w:t>SQLite Database</w:t>
      </w:r>
    </w:p>
    <w:p w14:paraId="3E1D3AF7" w14:textId="77777777" w:rsidR="00710C56" w:rsidRPr="006862EB" w:rsidRDefault="00000000">
      <w:pPr>
        <w:spacing w:after="60"/>
        <w:jc w:val="center"/>
        <w:rPr>
          <w:rFonts w:ascii="Times New Roman" w:hAnsi="Times New Roman" w:cs="Times New Roman"/>
          <w:sz w:val="32"/>
          <w:szCs w:val="32"/>
        </w:rPr>
      </w:pPr>
      <w:r w:rsidRPr="006862EB">
        <w:rPr>
          <w:rFonts w:ascii="Times New Roman" w:hAnsi="Times New Roman" w:cs="Times New Roman"/>
          <w:b/>
          <w:bCs/>
          <w:color w:val="2E75B6"/>
          <w:sz w:val="32"/>
          <w:szCs w:val="32"/>
        </w:rPr>
        <w:t>↓</w:t>
      </w:r>
    </w:p>
    <w:p w14:paraId="026BF112" w14:textId="77777777" w:rsidR="00710C56" w:rsidRPr="006862EB" w:rsidRDefault="00000000">
      <w:pPr>
        <w:pBdr>
          <w:top w:val="single" w:sz="4" w:space="4" w:color="2E75B6"/>
          <w:left w:val="single" w:sz="4" w:space="4" w:color="2E75B6"/>
          <w:bottom w:val="single" w:sz="4" w:space="4" w:color="2E75B6"/>
          <w:right w:val="single" w:sz="4" w:space="4" w:color="2E75B6"/>
        </w:pBdr>
        <w:shd w:val="clear" w:color="auto" w:fill="EDF3FA"/>
        <w:spacing w:after="60"/>
        <w:jc w:val="center"/>
        <w:rPr>
          <w:rFonts w:ascii="Times New Roman" w:hAnsi="Times New Roman" w:cs="Times New Roman"/>
          <w:sz w:val="32"/>
          <w:szCs w:val="32"/>
        </w:rPr>
      </w:pPr>
      <w:r w:rsidRPr="006862EB">
        <w:rPr>
          <w:rFonts w:ascii="Times New Roman" w:hAnsi="Times New Roman" w:cs="Times New Roman"/>
          <w:b/>
          <w:bCs/>
          <w:color w:val="1F4E79"/>
          <w:sz w:val="32"/>
          <w:szCs w:val="32"/>
        </w:rPr>
        <w:t>Analytics</w:t>
      </w:r>
    </w:p>
    <w:p w14:paraId="020C0321" w14:textId="77777777" w:rsidR="00710C56" w:rsidRPr="006862EB" w:rsidRDefault="00000000">
      <w:pPr>
        <w:spacing w:after="60"/>
        <w:jc w:val="center"/>
        <w:rPr>
          <w:rFonts w:ascii="Times New Roman" w:hAnsi="Times New Roman" w:cs="Times New Roman"/>
          <w:sz w:val="32"/>
          <w:szCs w:val="32"/>
        </w:rPr>
      </w:pPr>
      <w:r w:rsidRPr="006862EB">
        <w:rPr>
          <w:rFonts w:ascii="Times New Roman" w:hAnsi="Times New Roman" w:cs="Times New Roman"/>
          <w:b/>
          <w:bCs/>
          <w:color w:val="2E75B6"/>
          <w:sz w:val="32"/>
          <w:szCs w:val="32"/>
        </w:rPr>
        <w:t>↓</w:t>
      </w:r>
    </w:p>
    <w:p w14:paraId="21E0B653" w14:textId="77777777" w:rsidR="00710C56" w:rsidRPr="006862EB" w:rsidRDefault="00000000">
      <w:pPr>
        <w:pBdr>
          <w:top w:val="single" w:sz="4" w:space="4" w:color="2E75B6"/>
          <w:left w:val="single" w:sz="4" w:space="4" w:color="2E75B6"/>
          <w:bottom w:val="single" w:sz="4" w:space="4" w:color="2E75B6"/>
          <w:right w:val="single" w:sz="4" w:space="4" w:color="2E75B6"/>
        </w:pBdr>
        <w:shd w:val="clear" w:color="auto" w:fill="D9E6F2"/>
        <w:spacing w:after="60"/>
        <w:jc w:val="center"/>
        <w:rPr>
          <w:rFonts w:ascii="Times New Roman" w:hAnsi="Times New Roman" w:cs="Times New Roman"/>
          <w:sz w:val="32"/>
          <w:szCs w:val="32"/>
        </w:rPr>
      </w:pPr>
      <w:r w:rsidRPr="006862EB">
        <w:rPr>
          <w:rFonts w:ascii="Times New Roman" w:hAnsi="Times New Roman" w:cs="Times New Roman"/>
          <w:b/>
          <w:bCs/>
          <w:color w:val="1F4E79"/>
          <w:sz w:val="32"/>
          <w:szCs w:val="32"/>
        </w:rPr>
        <w:t>Power BI Dashboard</w:t>
      </w:r>
    </w:p>
    <w:p w14:paraId="44BF5481" w14:textId="77777777" w:rsidR="00710C56" w:rsidRPr="006862EB" w:rsidRDefault="00000000">
      <w:pPr>
        <w:spacing w:after="160" w:line="300" w:lineRule="auto"/>
        <w:jc w:val="both"/>
        <w:rPr>
          <w:rFonts w:ascii="Times New Roman" w:hAnsi="Times New Roman" w:cs="Times New Roman"/>
          <w:sz w:val="32"/>
          <w:szCs w:val="32"/>
        </w:rPr>
      </w:pPr>
      <w:r w:rsidRPr="006862EB">
        <w:rPr>
          <w:rFonts w:ascii="Times New Roman" w:hAnsi="Times New Roman" w:cs="Times New Roman"/>
          <w:sz w:val="32"/>
          <w:szCs w:val="32"/>
        </w:rPr>
        <w:t>The ETL pipeline begins with the ingestion of raw CSV files covering fund master data, NAV history, transactions, demographics, holdings, AUM, and SIP inflows. During the data cleaning stage, missing values, duplicate records, and inconsistent formats are handled, and fields are standardized for downstream use. The cleaned datasets are then written out as processed CSV files and loaded into a SQLite database, which acts as the central store for all analytical queries. From this database, the analytics layer computes performance and risk metrics, and the results are finally surfaced through an interactive Power BI dashboard for end-user consumption.</w:t>
      </w:r>
    </w:p>
    <w:p w14:paraId="7B19C090" w14:textId="77777777" w:rsidR="00710C56" w:rsidRPr="006862EB" w:rsidRDefault="00000000">
      <w:pPr>
        <w:rPr>
          <w:rFonts w:ascii="Times New Roman" w:hAnsi="Times New Roman" w:cs="Times New Roman"/>
        </w:rPr>
      </w:pPr>
      <w:r w:rsidRPr="006862EB">
        <w:rPr>
          <w:rFonts w:ascii="Times New Roman" w:hAnsi="Times New Roman" w:cs="Times New Roman"/>
        </w:rPr>
        <w:br w:type="page"/>
      </w:r>
    </w:p>
    <w:p w14:paraId="25FD3D24" w14:textId="77777777" w:rsidR="00710C56" w:rsidRPr="006862EB" w:rsidRDefault="00000000">
      <w:pPr>
        <w:pStyle w:val="Heading1"/>
        <w:pBdr>
          <w:bottom w:val="single" w:sz="6" w:space="4" w:color="2E75B6"/>
        </w:pBdr>
        <w:rPr>
          <w:rFonts w:ascii="Times New Roman" w:hAnsi="Times New Roman" w:cs="Times New Roman"/>
        </w:rPr>
      </w:pPr>
      <w:bookmarkStart w:id="5" w:name="_Toc234529046"/>
      <w:r w:rsidRPr="006862EB">
        <w:rPr>
          <w:rFonts w:ascii="Times New Roman" w:hAnsi="Times New Roman" w:cs="Times New Roman"/>
        </w:rPr>
        <w:lastRenderedPageBreak/>
        <w:t>5. Exploratory Data Analysis</w:t>
      </w:r>
      <w:bookmarkEnd w:id="5"/>
    </w:p>
    <w:p w14:paraId="7F1F460C" w14:textId="77777777" w:rsidR="00710C56" w:rsidRPr="006862EB" w:rsidRDefault="00000000">
      <w:pPr>
        <w:spacing w:after="160" w:line="300" w:lineRule="auto"/>
        <w:jc w:val="both"/>
        <w:rPr>
          <w:rFonts w:ascii="Times New Roman" w:hAnsi="Times New Roman" w:cs="Times New Roman"/>
        </w:rPr>
      </w:pPr>
      <w:r w:rsidRPr="006862EB">
        <w:rPr>
          <w:rFonts w:ascii="Times New Roman" w:hAnsi="Times New Roman" w:cs="Times New Roman"/>
        </w:rPr>
        <w:t xml:space="preserve">Exploratory data analysis was carried out in </w:t>
      </w:r>
      <w:proofErr w:type="spellStart"/>
      <w:r w:rsidRPr="006862EB">
        <w:rPr>
          <w:rFonts w:ascii="Times New Roman" w:hAnsi="Times New Roman" w:cs="Times New Roman"/>
        </w:rPr>
        <w:t>EDA_Analysis.ipynb</w:t>
      </w:r>
      <w:proofErr w:type="spellEnd"/>
      <w:r w:rsidRPr="006862EB">
        <w:rPr>
          <w:rFonts w:ascii="Times New Roman" w:hAnsi="Times New Roman" w:cs="Times New Roman"/>
        </w:rPr>
        <w:t xml:space="preserve"> to understand the structure, quality, and underlying patterns in the mutual fund data before deeper analytics were performed.</w:t>
      </w:r>
    </w:p>
    <w:p w14:paraId="6DCF2E7F" w14:textId="77777777" w:rsidR="00710C56" w:rsidRPr="006862EB" w:rsidRDefault="00000000">
      <w:pPr>
        <w:pStyle w:val="Heading2"/>
        <w:rPr>
          <w:rFonts w:ascii="Times New Roman" w:hAnsi="Times New Roman" w:cs="Times New Roman"/>
        </w:rPr>
      </w:pPr>
      <w:bookmarkStart w:id="6" w:name="_Toc234529047"/>
      <w:r w:rsidRPr="006862EB">
        <w:rPr>
          <w:rFonts w:ascii="Times New Roman" w:hAnsi="Times New Roman" w:cs="Times New Roman"/>
        </w:rPr>
        <w:t>Distribution Plot</w:t>
      </w:r>
      <w:bookmarkEnd w:id="6"/>
    </w:p>
    <w:p w14:paraId="4037ACF5" w14:textId="27B6E654" w:rsidR="00710C56" w:rsidRPr="006862EB" w:rsidRDefault="00000000">
      <w:pPr>
        <w:pBdr>
          <w:top w:val="dashed" w:sz="4" w:space="6" w:color="BFBFBF"/>
          <w:left w:val="dashed" w:sz="4" w:space="6" w:color="BFBFBF"/>
          <w:bottom w:val="dashed" w:sz="4" w:space="6" w:color="BFBFBF"/>
          <w:right w:val="dashed" w:sz="4" w:space="6" w:color="BFBFBF"/>
        </w:pBdr>
        <w:shd w:val="clear" w:color="auto" w:fill="F2F2F2"/>
        <w:spacing w:before="120" w:after="200"/>
        <w:rPr>
          <w:rFonts w:ascii="Times New Roman" w:hAnsi="Times New Roman" w:cs="Times New Roman"/>
        </w:rPr>
      </w:pPr>
      <w:r w:rsidRPr="006862EB">
        <w:rPr>
          <w:rFonts w:ascii="Times New Roman" w:hAnsi="Times New Roman" w:cs="Times New Roman"/>
          <w:i/>
          <w:iCs/>
          <w:color w:val="595959"/>
        </w:rPr>
        <w:t xml:space="preserve">  </w:t>
      </w:r>
      <w:r w:rsidR="00095018" w:rsidRPr="006862EB">
        <w:rPr>
          <w:rFonts w:ascii="Times New Roman" w:hAnsi="Times New Roman" w:cs="Times New Roman"/>
          <w:i/>
          <w:iCs/>
          <w:color w:val="595959"/>
        </w:rPr>
        <w:drawing>
          <wp:inline distT="0" distB="0" distL="0" distR="0" wp14:anchorId="51B68F8F" wp14:editId="64044F50">
            <wp:extent cx="3992880" cy="2964180"/>
            <wp:effectExtent l="0" t="0" r="7620" b="7620"/>
            <wp:docPr id="176003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2198" name=""/>
                    <pic:cNvPicPr/>
                  </pic:nvPicPr>
                  <pic:blipFill>
                    <a:blip r:embed="rId7"/>
                    <a:stretch>
                      <a:fillRect/>
                    </a:stretch>
                  </pic:blipFill>
                  <pic:spPr>
                    <a:xfrm>
                      <a:off x="0" y="0"/>
                      <a:ext cx="3992880" cy="2964180"/>
                    </a:xfrm>
                    <a:prstGeom prst="rect">
                      <a:avLst/>
                    </a:prstGeom>
                  </pic:spPr>
                </pic:pic>
              </a:graphicData>
            </a:graphic>
          </wp:inline>
        </w:drawing>
      </w:r>
    </w:p>
    <w:p w14:paraId="32F2FF5B" w14:textId="77777777" w:rsidR="00710C56" w:rsidRPr="006862EB" w:rsidRDefault="00000000">
      <w:pPr>
        <w:pStyle w:val="Heading2"/>
        <w:rPr>
          <w:rFonts w:ascii="Times New Roman" w:hAnsi="Times New Roman" w:cs="Times New Roman"/>
        </w:rPr>
      </w:pPr>
      <w:bookmarkStart w:id="7" w:name="_Toc234529048"/>
      <w:r w:rsidRPr="006862EB">
        <w:rPr>
          <w:rFonts w:ascii="Times New Roman" w:hAnsi="Times New Roman" w:cs="Times New Roman"/>
        </w:rPr>
        <w:t>Correlation Heatmap</w:t>
      </w:r>
      <w:bookmarkEnd w:id="7"/>
    </w:p>
    <w:p w14:paraId="2F3B236C" w14:textId="1538F832" w:rsidR="00710C56" w:rsidRPr="006862EB" w:rsidRDefault="00000000">
      <w:pPr>
        <w:pBdr>
          <w:top w:val="dashed" w:sz="4" w:space="6" w:color="BFBFBF"/>
          <w:left w:val="dashed" w:sz="4" w:space="6" w:color="BFBFBF"/>
          <w:bottom w:val="dashed" w:sz="4" w:space="6" w:color="BFBFBF"/>
          <w:right w:val="dashed" w:sz="4" w:space="6" w:color="BFBFBF"/>
        </w:pBdr>
        <w:shd w:val="clear" w:color="auto" w:fill="F2F2F2"/>
        <w:spacing w:before="120" w:after="200"/>
        <w:rPr>
          <w:rFonts w:ascii="Times New Roman" w:hAnsi="Times New Roman" w:cs="Times New Roman"/>
        </w:rPr>
      </w:pPr>
      <w:r w:rsidRPr="006862EB">
        <w:rPr>
          <w:rFonts w:ascii="Times New Roman" w:hAnsi="Times New Roman" w:cs="Times New Roman"/>
          <w:i/>
          <w:iCs/>
          <w:color w:val="595959"/>
        </w:rPr>
        <w:t xml:space="preserve">  </w:t>
      </w:r>
      <w:r w:rsidR="00095018" w:rsidRPr="006862EB">
        <w:rPr>
          <w:rFonts w:ascii="Times New Roman" w:hAnsi="Times New Roman" w:cs="Times New Roman"/>
          <w:i/>
          <w:iCs/>
          <w:color w:val="595959"/>
        </w:rPr>
        <w:drawing>
          <wp:inline distT="0" distB="0" distL="0" distR="0" wp14:anchorId="45964824" wp14:editId="6D49AAEB">
            <wp:extent cx="5943600" cy="2628900"/>
            <wp:effectExtent l="0" t="0" r="0" b="0"/>
            <wp:docPr id="14548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1182" name=""/>
                    <pic:cNvPicPr/>
                  </pic:nvPicPr>
                  <pic:blipFill>
                    <a:blip r:embed="rId8"/>
                    <a:stretch>
                      <a:fillRect/>
                    </a:stretch>
                  </pic:blipFill>
                  <pic:spPr>
                    <a:xfrm>
                      <a:off x="0" y="0"/>
                      <a:ext cx="5943600" cy="2628900"/>
                    </a:xfrm>
                    <a:prstGeom prst="rect">
                      <a:avLst/>
                    </a:prstGeom>
                  </pic:spPr>
                </pic:pic>
              </a:graphicData>
            </a:graphic>
          </wp:inline>
        </w:drawing>
      </w:r>
    </w:p>
    <w:p w14:paraId="59A2736D" w14:textId="77777777" w:rsidR="00B369F7" w:rsidRPr="006862EB" w:rsidRDefault="00B369F7">
      <w:pPr>
        <w:pStyle w:val="Heading2"/>
        <w:rPr>
          <w:rFonts w:ascii="Times New Roman" w:hAnsi="Times New Roman" w:cs="Times New Roman"/>
        </w:rPr>
      </w:pPr>
      <w:bookmarkStart w:id="8" w:name="_Toc234529050"/>
    </w:p>
    <w:p w14:paraId="65ADD081" w14:textId="0EBF3D61" w:rsidR="00B369F7" w:rsidRPr="006862EB" w:rsidRDefault="00000000">
      <w:pPr>
        <w:pStyle w:val="Heading2"/>
        <w:rPr>
          <w:rFonts w:ascii="Times New Roman" w:hAnsi="Times New Roman" w:cs="Times New Roman"/>
        </w:rPr>
      </w:pPr>
      <w:r w:rsidRPr="006862EB">
        <w:rPr>
          <w:rFonts w:ascii="Times New Roman" w:hAnsi="Times New Roman" w:cs="Times New Roman"/>
        </w:rPr>
        <w:lastRenderedPageBreak/>
        <w:t>Investment Analysis</w:t>
      </w:r>
      <w:bookmarkEnd w:id="8"/>
    </w:p>
    <w:p w14:paraId="30B66DD1" w14:textId="17EFEA67" w:rsidR="00710C56" w:rsidRPr="006862EB" w:rsidRDefault="00000000">
      <w:pPr>
        <w:pBdr>
          <w:top w:val="dashed" w:sz="4" w:space="6" w:color="BFBFBF"/>
          <w:left w:val="dashed" w:sz="4" w:space="6" w:color="BFBFBF"/>
          <w:bottom w:val="dashed" w:sz="4" w:space="6" w:color="BFBFBF"/>
          <w:right w:val="dashed" w:sz="4" w:space="6" w:color="BFBFBF"/>
        </w:pBdr>
        <w:shd w:val="clear" w:color="auto" w:fill="F2F2F2"/>
        <w:spacing w:before="120" w:after="200"/>
        <w:rPr>
          <w:rFonts w:ascii="Times New Roman" w:hAnsi="Times New Roman" w:cs="Times New Roman"/>
        </w:rPr>
      </w:pPr>
      <w:r w:rsidRPr="006862EB">
        <w:rPr>
          <w:rFonts w:ascii="Times New Roman" w:hAnsi="Times New Roman" w:cs="Times New Roman"/>
          <w:i/>
          <w:iCs/>
          <w:color w:val="595959"/>
        </w:rPr>
        <w:t xml:space="preserve">  </w:t>
      </w:r>
      <w:r w:rsidR="00B369F7" w:rsidRPr="006862EB">
        <w:rPr>
          <w:rFonts w:ascii="Times New Roman" w:hAnsi="Times New Roman" w:cs="Times New Roman"/>
          <w:i/>
          <w:iCs/>
          <w:color w:val="595959"/>
        </w:rPr>
        <w:drawing>
          <wp:inline distT="0" distB="0" distL="0" distR="0" wp14:anchorId="6A002D22" wp14:editId="551BAAC7">
            <wp:extent cx="5391150" cy="3337560"/>
            <wp:effectExtent l="0" t="0" r="0" b="0"/>
            <wp:docPr id="158252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24761" name=""/>
                    <pic:cNvPicPr/>
                  </pic:nvPicPr>
                  <pic:blipFill>
                    <a:blip r:embed="rId9"/>
                    <a:stretch>
                      <a:fillRect/>
                    </a:stretch>
                  </pic:blipFill>
                  <pic:spPr>
                    <a:xfrm>
                      <a:off x="0" y="0"/>
                      <a:ext cx="5391150" cy="3337560"/>
                    </a:xfrm>
                    <a:prstGeom prst="rect">
                      <a:avLst/>
                    </a:prstGeom>
                  </pic:spPr>
                </pic:pic>
              </a:graphicData>
            </a:graphic>
          </wp:inline>
        </w:drawing>
      </w:r>
    </w:p>
    <w:p w14:paraId="619FAD89" w14:textId="77777777" w:rsidR="00710C56" w:rsidRPr="006862EB" w:rsidRDefault="00000000">
      <w:pPr>
        <w:pStyle w:val="Heading2"/>
        <w:rPr>
          <w:rFonts w:ascii="Times New Roman" w:hAnsi="Times New Roman" w:cs="Times New Roman"/>
          <w:sz w:val="36"/>
          <w:szCs w:val="36"/>
        </w:rPr>
      </w:pPr>
      <w:bookmarkStart w:id="9" w:name="_Toc234529051"/>
      <w:r w:rsidRPr="006862EB">
        <w:rPr>
          <w:rFonts w:ascii="Times New Roman" w:hAnsi="Times New Roman" w:cs="Times New Roman"/>
          <w:sz w:val="36"/>
          <w:szCs w:val="36"/>
        </w:rPr>
        <w:t>Key Insights</w:t>
      </w:r>
      <w:bookmarkEnd w:id="9"/>
    </w:p>
    <w:p w14:paraId="45D14CF7" w14:textId="77777777" w:rsidR="00710C56" w:rsidRPr="006862EB" w:rsidRDefault="00000000">
      <w:pPr>
        <w:pStyle w:val="ListParagraph"/>
        <w:numPr>
          <w:ilvl w:val="0"/>
          <w:numId w:val="2"/>
        </w:numPr>
        <w:spacing w:after="100"/>
        <w:rPr>
          <w:rFonts w:ascii="Times New Roman" w:hAnsi="Times New Roman" w:cs="Times New Roman"/>
          <w:sz w:val="28"/>
          <w:szCs w:val="28"/>
        </w:rPr>
      </w:pPr>
      <w:r w:rsidRPr="006862EB">
        <w:rPr>
          <w:rFonts w:ascii="Times New Roman" w:hAnsi="Times New Roman" w:cs="Times New Roman"/>
          <w:sz w:val="28"/>
          <w:szCs w:val="28"/>
        </w:rPr>
        <w:t>Returns across schemes are unevenly distributed, with a small number of funds driving a disproportionate share of top-end performance.</w:t>
      </w:r>
    </w:p>
    <w:p w14:paraId="098284AA" w14:textId="77777777" w:rsidR="00710C56" w:rsidRPr="006862EB" w:rsidRDefault="00000000">
      <w:pPr>
        <w:pStyle w:val="ListParagraph"/>
        <w:numPr>
          <w:ilvl w:val="0"/>
          <w:numId w:val="2"/>
        </w:numPr>
        <w:spacing w:after="100"/>
        <w:rPr>
          <w:rFonts w:ascii="Times New Roman" w:hAnsi="Times New Roman" w:cs="Times New Roman"/>
          <w:sz w:val="28"/>
          <w:szCs w:val="28"/>
        </w:rPr>
      </w:pPr>
      <w:r w:rsidRPr="006862EB">
        <w:rPr>
          <w:rFonts w:ascii="Times New Roman" w:hAnsi="Times New Roman" w:cs="Times New Roman"/>
          <w:sz w:val="28"/>
          <w:szCs w:val="28"/>
        </w:rPr>
        <w:t>Several performance metrics show strong pairwise correlation, indicating redundancy that can inform feature selection for later modelling.</w:t>
      </w:r>
    </w:p>
    <w:p w14:paraId="6F281491" w14:textId="77777777" w:rsidR="00710C56" w:rsidRPr="006862EB" w:rsidRDefault="00000000">
      <w:pPr>
        <w:pStyle w:val="ListParagraph"/>
        <w:numPr>
          <w:ilvl w:val="0"/>
          <w:numId w:val="2"/>
        </w:numPr>
        <w:spacing w:after="100"/>
        <w:rPr>
          <w:rFonts w:ascii="Times New Roman" w:hAnsi="Times New Roman" w:cs="Times New Roman"/>
          <w:sz w:val="28"/>
          <w:szCs w:val="28"/>
        </w:rPr>
      </w:pPr>
      <w:r w:rsidRPr="006862EB">
        <w:rPr>
          <w:rFonts w:ascii="Times New Roman" w:hAnsi="Times New Roman" w:cs="Times New Roman"/>
          <w:sz w:val="28"/>
          <w:szCs w:val="28"/>
        </w:rPr>
        <w:t>Missing values are concentrated in a limited set of columns, primarily historical NAV records for newer schemes, and were addressed during cleaning.</w:t>
      </w:r>
    </w:p>
    <w:p w14:paraId="6FAA0252" w14:textId="77777777" w:rsidR="00710C56" w:rsidRPr="006862EB" w:rsidRDefault="00000000">
      <w:pPr>
        <w:pStyle w:val="ListParagraph"/>
        <w:numPr>
          <w:ilvl w:val="0"/>
          <w:numId w:val="2"/>
        </w:numPr>
        <w:spacing w:after="100"/>
        <w:rPr>
          <w:rFonts w:ascii="Times New Roman" w:hAnsi="Times New Roman" w:cs="Times New Roman"/>
          <w:sz w:val="28"/>
          <w:szCs w:val="28"/>
        </w:rPr>
      </w:pPr>
      <w:r w:rsidRPr="006862EB">
        <w:rPr>
          <w:rFonts w:ascii="Times New Roman" w:hAnsi="Times New Roman" w:cs="Times New Roman"/>
          <w:sz w:val="28"/>
          <w:szCs w:val="28"/>
        </w:rPr>
        <w:t>Investment activity is concentrated in a subset of fund categories, suggesting clear investor preferences by risk appetite.</w:t>
      </w:r>
    </w:p>
    <w:p w14:paraId="68280989" w14:textId="77777777" w:rsidR="00710C56" w:rsidRPr="006862EB" w:rsidRDefault="00000000">
      <w:pPr>
        <w:pStyle w:val="ListParagraph"/>
        <w:numPr>
          <w:ilvl w:val="0"/>
          <w:numId w:val="2"/>
        </w:numPr>
        <w:spacing w:after="100"/>
        <w:rPr>
          <w:rFonts w:ascii="Times New Roman" w:hAnsi="Times New Roman" w:cs="Times New Roman"/>
          <w:sz w:val="28"/>
          <w:szCs w:val="28"/>
        </w:rPr>
      </w:pPr>
      <w:r w:rsidRPr="006862EB">
        <w:rPr>
          <w:rFonts w:ascii="Times New Roman" w:hAnsi="Times New Roman" w:cs="Times New Roman"/>
          <w:sz w:val="28"/>
          <w:szCs w:val="28"/>
        </w:rPr>
        <w:t>Expense ratios vary meaningfully across fund houses, which later analysis links to differences in long-term performance.</w:t>
      </w:r>
    </w:p>
    <w:p w14:paraId="6302AF73" w14:textId="77777777" w:rsidR="00710C56" w:rsidRPr="006862EB" w:rsidRDefault="00000000">
      <w:pPr>
        <w:rPr>
          <w:rFonts w:ascii="Times New Roman" w:hAnsi="Times New Roman" w:cs="Times New Roman"/>
        </w:rPr>
      </w:pPr>
      <w:r w:rsidRPr="006862EB">
        <w:rPr>
          <w:rFonts w:ascii="Times New Roman" w:hAnsi="Times New Roman" w:cs="Times New Roman"/>
        </w:rPr>
        <w:br w:type="page"/>
      </w:r>
    </w:p>
    <w:p w14:paraId="7911B115" w14:textId="77777777" w:rsidR="00710C56" w:rsidRPr="006862EB" w:rsidRDefault="00000000">
      <w:pPr>
        <w:pStyle w:val="Heading1"/>
        <w:pBdr>
          <w:bottom w:val="single" w:sz="6" w:space="4" w:color="2E75B6"/>
        </w:pBdr>
        <w:rPr>
          <w:rFonts w:ascii="Times New Roman" w:hAnsi="Times New Roman" w:cs="Times New Roman"/>
          <w:sz w:val="36"/>
          <w:szCs w:val="36"/>
        </w:rPr>
      </w:pPr>
      <w:bookmarkStart w:id="10" w:name="_Toc234529052"/>
      <w:r w:rsidRPr="006862EB">
        <w:rPr>
          <w:rFonts w:ascii="Times New Roman" w:hAnsi="Times New Roman" w:cs="Times New Roman"/>
          <w:sz w:val="36"/>
          <w:szCs w:val="36"/>
        </w:rPr>
        <w:lastRenderedPageBreak/>
        <w:t>6. Performance Analytics</w:t>
      </w:r>
      <w:bookmarkEnd w:id="10"/>
    </w:p>
    <w:p w14:paraId="36C35875" w14:textId="77777777" w:rsidR="00710C56" w:rsidRPr="006862EB" w:rsidRDefault="00000000">
      <w:pPr>
        <w:spacing w:after="160" w:line="300" w:lineRule="auto"/>
        <w:jc w:val="both"/>
        <w:rPr>
          <w:rFonts w:ascii="Times New Roman" w:hAnsi="Times New Roman" w:cs="Times New Roman"/>
          <w:sz w:val="28"/>
          <w:szCs w:val="28"/>
        </w:rPr>
      </w:pPr>
      <w:r w:rsidRPr="006862EB">
        <w:rPr>
          <w:rFonts w:ascii="Times New Roman" w:hAnsi="Times New Roman" w:cs="Times New Roman"/>
          <w:sz w:val="28"/>
          <w:szCs w:val="28"/>
        </w:rPr>
        <w:t xml:space="preserve">Performance analytics were computed in </w:t>
      </w:r>
      <w:proofErr w:type="spellStart"/>
      <w:r w:rsidRPr="006862EB">
        <w:rPr>
          <w:rFonts w:ascii="Times New Roman" w:hAnsi="Times New Roman" w:cs="Times New Roman"/>
          <w:sz w:val="28"/>
          <w:szCs w:val="28"/>
        </w:rPr>
        <w:t>Performance_Analytics.ipynb</w:t>
      </w:r>
      <w:proofErr w:type="spellEnd"/>
      <w:r w:rsidRPr="006862EB">
        <w:rPr>
          <w:rFonts w:ascii="Times New Roman" w:hAnsi="Times New Roman" w:cs="Times New Roman"/>
          <w:sz w:val="28"/>
          <w:szCs w:val="28"/>
        </w:rPr>
        <w:t xml:space="preserve"> to evaluate each scheme on both return and risk-adjusted terms.</w:t>
      </w:r>
    </w:p>
    <w:p w14:paraId="7F2554A5" w14:textId="19C9878D" w:rsidR="00710C56" w:rsidRPr="006862EB" w:rsidRDefault="00000000">
      <w:pPr>
        <w:pBdr>
          <w:top w:val="dashed" w:sz="4" w:space="6" w:color="BFBFBF"/>
          <w:left w:val="dashed" w:sz="4" w:space="6" w:color="BFBFBF"/>
          <w:bottom w:val="dashed" w:sz="4" w:space="6" w:color="BFBFBF"/>
          <w:right w:val="dashed" w:sz="4" w:space="6" w:color="BFBFBF"/>
        </w:pBdr>
        <w:shd w:val="clear" w:color="auto" w:fill="F2F2F2"/>
        <w:spacing w:before="120" w:after="200"/>
        <w:rPr>
          <w:rFonts w:ascii="Times New Roman" w:hAnsi="Times New Roman" w:cs="Times New Roman"/>
        </w:rPr>
      </w:pPr>
      <w:r w:rsidRPr="006862EB">
        <w:rPr>
          <w:rFonts w:ascii="Times New Roman" w:hAnsi="Times New Roman" w:cs="Times New Roman"/>
          <w:i/>
          <w:iCs/>
          <w:color w:val="595959"/>
        </w:rPr>
        <w:t xml:space="preserve">  </w:t>
      </w:r>
      <w:r w:rsidR="00B369F7" w:rsidRPr="006862EB">
        <w:rPr>
          <w:rFonts w:ascii="Times New Roman" w:hAnsi="Times New Roman" w:cs="Times New Roman"/>
          <w:i/>
          <w:iCs/>
          <w:color w:val="595959"/>
        </w:rPr>
        <w:drawing>
          <wp:inline distT="0" distB="0" distL="0" distR="0" wp14:anchorId="6361F86C" wp14:editId="11BBC0D9">
            <wp:extent cx="5943600" cy="2944495"/>
            <wp:effectExtent l="0" t="0" r="0" b="8255"/>
            <wp:docPr id="115596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67862" name=""/>
                    <pic:cNvPicPr/>
                  </pic:nvPicPr>
                  <pic:blipFill>
                    <a:blip r:embed="rId10"/>
                    <a:stretch>
                      <a:fillRect/>
                    </a:stretch>
                  </pic:blipFill>
                  <pic:spPr>
                    <a:xfrm>
                      <a:off x="0" y="0"/>
                      <a:ext cx="5943600" cy="2944495"/>
                    </a:xfrm>
                    <a:prstGeom prst="rect">
                      <a:avLst/>
                    </a:prstGeom>
                  </pic:spPr>
                </pic:pic>
              </a:graphicData>
            </a:graphic>
          </wp:inline>
        </w:drawing>
      </w:r>
    </w:p>
    <w:p w14:paraId="562D3D78" w14:textId="77777777" w:rsidR="00710C56" w:rsidRPr="006862EB" w:rsidRDefault="00000000">
      <w:pPr>
        <w:pStyle w:val="Heading2"/>
        <w:rPr>
          <w:rFonts w:ascii="Times New Roman" w:hAnsi="Times New Roman" w:cs="Times New Roman"/>
          <w:sz w:val="32"/>
          <w:szCs w:val="32"/>
        </w:rPr>
      </w:pPr>
      <w:bookmarkStart w:id="11" w:name="_Toc234529053"/>
      <w:r w:rsidRPr="006862EB">
        <w:rPr>
          <w:rFonts w:ascii="Times New Roman" w:hAnsi="Times New Roman" w:cs="Times New Roman"/>
          <w:sz w:val="32"/>
          <w:szCs w:val="32"/>
        </w:rPr>
        <w:t>CAGR</w:t>
      </w:r>
      <w:bookmarkEnd w:id="11"/>
    </w:p>
    <w:p w14:paraId="209C046E" w14:textId="77777777" w:rsidR="00710C56" w:rsidRPr="006862EB" w:rsidRDefault="00000000">
      <w:pPr>
        <w:spacing w:after="160" w:line="300" w:lineRule="auto"/>
        <w:jc w:val="both"/>
        <w:rPr>
          <w:rFonts w:ascii="Times New Roman" w:hAnsi="Times New Roman" w:cs="Times New Roman"/>
          <w:sz w:val="32"/>
          <w:szCs w:val="32"/>
        </w:rPr>
      </w:pPr>
      <w:r w:rsidRPr="006862EB">
        <w:rPr>
          <w:rFonts w:ascii="Times New Roman" w:hAnsi="Times New Roman" w:cs="Times New Roman"/>
          <w:sz w:val="32"/>
          <w:szCs w:val="32"/>
        </w:rPr>
        <w:t>The Compound Annual Growth Rate (CAGR) measures the mean annual growth rate of an investment over a specified period, smoothing out the effects of volatility to show a fund's true long-term growth trajectory.</w:t>
      </w:r>
    </w:p>
    <w:p w14:paraId="1C62AFA7" w14:textId="77777777" w:rsidR="00710C56" w:rsidRPr="006862EB" w:rsidRDefault="00000000">
      <w:pPr>
        <w:pStyle w:val="Heading2"/>
        <w:rPr>
          <w:rFonts w:ascii="Times New Roman" w:hAnsi="Times New Roman" w:cs="Times New Roman"/>
          <w:sz w:val="32"/>
          <w:szCs w:val="32"/>
        </w:rPr>
      </w:pPr>
      <w:bookmarkStart w:id="12" w:name="_Toc234529054"/>
      <w:r w:rsidRPr="006862EB">
        <w:rPr>
          <w:rFonts w:ascii="Times New Roman" w:hAnsi="Times New Roman" w:cs="Times New Roman"/>
          <w:sz w:val="32"/>
          <w:szCs w:val="32"/>
        </w:rPr>
        <w:t>Sharpe Ratio</w:t>
      </w:r>
      <w:bookmarkEnd w:id="12"/>
    </w:p>
    <w:p w14:paraId="10F95C48" w14:textId="77777777" w:rsidR="00710C56" w:rsidRPr="006862EB" w:rsidRDefault="00000000">
      <w:pPr>
        <w:spacing w:after="160" w:line="300" w:lineRule="auto"/>
        <w:jc w:val="both"/>
        <w:rPr>
          <w:rFonts w:ascii="Times New Roman" w:hAnsi="Times New Roman" w:cs="Times New Roman"/>
          <w:sz w:val="32"/>
          <w:szCs w:val="32"/>
        </w:rPr>
      </w:pPr>
      <w:r w:rsidRPr="006862EB">
        <w:rPr>
          <w:rFonts w:ascii="Times New Roman" w:hAnsi="Times New Roman" w:cs="Times New Roman"/>
          <w:sz w:val="32"/>
          <w:szCs w:val="32"/>
        </w:rPr>
        <w:t>The Sharpe Ratio measures risk-adjusted return by comparing a fund's excess return over the risk-free rate to its volatility, helping investors compare funds that carry different levels of risk.</w:t>
      </w:r>
    </w:p>
    <w:p w14:paraId="4955FBFD" w14:textId="77777777" w:rsidR="00710C56" w:rsidRPr="006862EB" w:rsidRDefault="00000000">
      <w:pPr>
        <w:pStyle w:val="Heading2"/>
        <w:rPr>
          <w:rFonts w:ascii="Times New Roman" w:hAnsi="Times New Roman" w:cs="Times New Roman"/>
          <w:sz w:val="32"/>
          <w:szCs w:val="32"/>
        </w:rPr>
      </w:pPr>
      <w:bookmarkStart w:id="13" w:name="_Toc234529055"/>
      <w:r w:rsidRPr="006862EB">
        <w:rPr>
          <w:rFonts w:ascii="Times New Roman" w:hAnsi="Times New Roman" w:cs="Times New Roman"/>
          <w:sz w:val="32"/>
          <w:szCs w:val="32"/>
        </w:rPr>
        <w:t>Beta</w:t>
      </w:r>
      <w:bookmarkEnd w:id="13"/>
    </w:p>
    <w:p w14:paraId="02B0FDD8" w14:textId="77777777" w:rsidR="00710C56" w:rsidRPr="006862EB" w:rsidRDefault="00000000">
      <w:pPr>
        <w:spacing w:after="160" w:line="300" w:lineRule="auto"/>
        <w:jc w:val="both"/>
        <w:rPr>
          <w:rFonts w:ascii="Times New Roman" w:hAnsi="Times New Roman" w:cs="Times New Roman"/>
          <w:sz w:val="32"/>
          <w:szCs w:val="32"/>
        </w:rPr>
      </w:pPr>
      <w:r w:rsidRPr="006862EB">
        <w:rPr>
          <w:rFonts w:ascii="Times New Roman" w:hAnsi="Times New Roman" w:cs="Times New Roman"/>
          <w:sz w:val="32"/>
          <w:szCs w:val="32"/>
        </w:rPr>
        <w:lastRenderedPageBreak/>
        <w:t>Beta quantifies a fund's sensitivity to overall market movements. A beta greater than 1 indicates higher volatility than the market, while a beta below 1 indicates lower volatility.</w:t>
      </w:r>
    </w:p>
    <w:p w14:paraId="5B06EE48" w14:textId="77777777" w:rsidR="00710C56" w:rsidRPr="006862EB" w:rsidRDefault="00000000">
      <w:pPr>
        <w:pStyle w:val="Heading2"/>
        <w:rPr>
          <w:rFonts w:ascii="Times New Roman" w:hAnsi="Times New Roman" w:cs="Times New Roman"/>
          <w:sz w:val="32"/>
          <w:szCs w:val="32"/>
        </w:rPr>
      </w:pPr>
      <w:bookmarkStart w:id="14" w:name="_Toc234529056"/>
      <w:r w:rsidRPr="006862EB">
        <w:rPr>
          <w:rFonts w:ascii="Times New Roman" w:hAnsi="Times New Roman" w:cs="Times New Roman"/>
          <w:sz w:val="32"/>
          <w:szCs w:val="32"/>
        </w:rPr>
        <w:t>Rolling Returns</w:t>
      </w:r>
      <w:bookmarkEnd w:id="14"/>
    </w:p>
    <w:p w14:paraId="33F01D72" w14:textId="77777777" w:rsidR="00710C56" w:rsidRPr="006862EB" w:rsidRDefault="00000000">
      <w:pPr>
        <w:spacing w:after="160" w:line="300" w:lineRule="auto"/>
        <w:jc w:val="both"/>
        <w:rPr>
          <w:rFonts w:ascii="Times New Roman" w:hAnsi="Times New Roman" w:cs="Times New Roman"/>
          <w:sz w:val="32"/>
          <w:szCs w:val="32"/>
        </w:rPr>
      </w:pPr>
      <w:r w:rsidRPr="006862EB">
        <w:rPr>
          <w:rFonts w:ascii="Times New Roman" w:hAnsi="Times New Roman" w:cs="Times New Roman"/>
          <w:sz w:val="32"/>
          <w:szCs w:val="32"/>
        </w:rPr>
        <w:t>Rolling returns track a fund's performance over successive overlapping periods, offering a more robust view of consistency than a single point-in-time return figure.</w:t>
      </w:r>
    </w:p>
    <w:p w14:paraId="1DA66E5D" w14:textId="77777777" w:rsidR="00710C56" w:rsidRPr="006862EB" w:rsidRDefault="00000000">
      <w:pPr>
        <w:pStyle w:val="Heading2"/>
        <w:rPr>
          <w:rFonts w:ascii="Times New Roman" w:hAnsi="Times New Roman" w:cs="Times New Roman"/>
          <w:sz w:val="32"/>
          <w:szCs w:val="32"/>
        </w:rPr>
      </w:pPr>
      <w:bookmarkStart w:id="15" w:name="_Toc234529057"/>
      <w:r w:rsidRPr="006862EB">
        <w:rPr>
          <w:rFonts w:ascii="Times New Roman" w:hAnsi="Times New Roman" w:cs="Times New Roman"/>
          <w:sz w:val="32"/>
          <w:szCs w:val="32"/>
        </w:rPr>
        <w:t xml:space="preserve">Historical </w:t>
      </w:r>
      <w:proofErr w:type="spellStart"/>
      <w:r w:rsidRPr="006862EB">
        <w:rPr>
          <w:rFonts w:ascii="Times New Roman" w:hAnsi="Times New Roman" w:cs="Times New Roman"/>
          <w:sz w:val="32"/>
          <w:szCs w:val="32"/>
        </w:rPr>
        <w:t>VaR</w:t>
      </w:r>
      <w:bookmarkEnd w:id="15"/>
      <w:proofErr w:type="spellEnd"/>
    </w:p>
    <w:p w14:paraId="14E4B85C" w14:textId="77777777" w:rsidR="00710C56" w:rsidRPr="006862EB" w:rsidRDefault="00000000">
      <w:pPr>
        <w:spacing w:after="160" w:line="300" w:lineRule="auto"/>
        <w:jc w:val="both"/>
        <w:rPr>
          <w:rFonts w:ascii="Times New Roman" w:hAnsi="Times New Roman" w:cs="Times New Roman"/>
          <w:sz w:val="32"/>
          <w:szCs w:val="32"/>
        </w:rPr>
      </w:pPr>
      <w:r w:rsidRPr="006862EB">
        <w:rPr>
          <w:rFonts w:ascii="Times New Roman" w:hAnsi="Times New Roman" w:cs="Times New Roman"/>
          <w:sz w:val="32"/>
          <w:szCs w:val="32"/>
        </w:rPr>
        <w:t>Historical Value at Risk (</w:t>
      </w:r>
      <w:proofErr w:type="spellStart"/>
      <w:r w:rsidRPr="006862EB">
        <w:rPr>
          <w:rFonts w:ascii="Times New Roman" w:hAnsi="Times New Roman" w:cs="Times New Roman"/>
          <w:sz w:val="32"/>
          <w:szCs w:val="32"/>
        </w:rPr>
        <w:t>VaR</w:t>
      </w:r>
      <w:proofErr w:type="spellEnd"/>
      <w:r w:rsidRPr="006862EB">
        <w:rPr>
          <w:rFonts w:ascii="Times New Roman" w:hAnsi="Times New Roman" w:cs="Times New Roman"/>
          <w:sz w:val="32"/>
          <w:szCs w:val="32"/>
        </w:rPr>
        <w:t>) estimates the maximum expected loss over a given time horizon at a specified confidence level, based on actual historical return data.</w:t>
      </w:r>
    </w:p>
    <w:p w14:paraId="25815B58" w14:textId="77777777" w:rsidR="00710C56" w:rsidRPr="006862EB" w:rsidRDefault="00000000">
      <w:pPr>
        <w:pStyle w:val="Heading2"/>
        <w:rPr>
          <w:rFonts w:ascii="Times New Roman" w:hAnsi="Times New Roman" w:cs="Times New Roman"/>
          <w:sz w:val="32"/>
          <w:szCs w:val="32"/>
        </w:rPr>
      </w:pPr>
      <w:bookmarkStart w:id="16" w:name="_Toc234529058"/>
      <w:r w:rsidRPr="006862EB">
        <w:rPr>
          <w:rFonts w:ascii="Times New Roman" w:hAnsi="Times New Roman" w:cs="Times New Roman"/>
          <w:sz w:val="32"/>
          <w:szCs w:val="32"/>
        </w:rPr>
        <w:t>CVaR</w:t>
      </w:r>
      <w:bookmarkEnd w:id="16"/>
    </w:p>
    <w:p w14:paraId="6E9A021A" w14:textId="77777777" w:rsidR="00710C56" w:rsidRPr="006862EB" w:rsidRDefault="00000000">
      <w:pPr>
        <w:spacing w:after="160" w:line="300" w:lineRule="auto"/>
        <w:jc w:val="both"/>
        <w:rPr>
          <w:rFonts w:ascii="Times New Roman" w:hAnsi="Times New Roman" w:cs="Times New Roman"/>
          <w:sz w:val="32"/>
          <w:szCs w:val="32"/>
        </w:rPr>
      </w:pPr>
      <w:r w:rsidRPr="006862EB">
        <w:rPr>
          <w:rFonts w:ascii="Times New Roman" w:hAnsi="Times New Roman" w:cs="Times New Roman"/>
          <w:sz w:val="32"/>
          <w:szCs w:val="32"/>
        </w:rPr>
        <w:t xml:space="preserve">Conditional Value at Risk (CVaR) extends </w:t>
      </w:r>
      <w:proofErr w:type="spellStart"/>
      <w:r w:rsidRPr="006862EB">
        <w:rPr>
          <w:rFonts w:ascii="Times New Roman" w:hAnsi="Times New Roman" w:cs="Times New Roman"/>
          <w:sz w:val="32"/>
          <w:szCs w:val="32"/>
        </w:rPr>
        <w:t>VaR</w:t>
      </w:r>
      <w:proofErr w:type="spellEnd"/>
      <w:r w:rsidRPr="006862EB">
        <w:rPr>
          <w:rFonts w:ascii="Times New Roman" w:hAnsi="Times New Roman" w:cs="Times New Roman"/>
          <w:sz w:val="32"/>
          <w:szCs w:val="32"/>
        </w:rPr>
        <w:t xml:space="preserve"> by measuring the expected loss in the worst-case scenarios beyond the </w:t>
      </w:r>
      <w:proofErr w:type="spellStart"/>
      <w:r w:rsidRPr="006862EB">
        <w:rPr>
          <w:rFonts w:ascii="Times New Roman" w:hAnsi="Times New Roman" w:cs="Times New Roman"/>
          <w:sz w:val="32"/>
          <w:szCs w:val="32"/>
        </w:rPr>
        <w:t>VaR</w:t>
      </w:r>
      <w:proofErr w:type="spellEnd"/>
      <w:r w:rsidRPr="006862EB">
        <w:rPr>
          <w:rFonts w:ascii="Times New Roman" w:hAnsi="Times New Roman" w:cs="Times New Roman"/>
          <w:sz w:val="32"/>
          <w:szCs w:val="32"/>
        </w:rPr>
        <w:t xml:space="preserve"> threshold, giving a more complete picture of tail risk.</w:t>
      </w:r>
    </w:p>
    <w:p w14:paraId="254F960F" w14:textId="77777777" w:rsidR="00710C56" w:rsidRPr="006862EB" w:rsidRDefault="00000000">
      <w:pPr>
        <w:rPr>
          <w:rFonts w:ascii="Times New Roman" w:hAnsi="Times New Roman" w:cs="Times New Roman"/>
        </w:rPr>
      </w:pPr>
      <w:r w:rsidRPr="006862EB">
        <w:rPr>
          <w:rFonts w:ascii="Times New Roman" w:hAnsi="Times New Roman" w:cs="Times New Roman"/>
        </w:rPr>
        <w:br w:type="page"/>
      </w:r>
    </w:p>
    <w:p w14:paraId="793C859A" w14:textId="77777777" w:rsidR="00710C56" w:rsidRPr="006862EB" w:rsidRDefault="00000000">
      <w:pPr>
        <w:pStyle w:val="Heading1"/>
        <w:pBdr>
          <w:bottom w:val="single" w:sz="6" w:space="4" w:color="2E75B6"/>
        </w:pBdr>
        <w:rPr>
          <w:rFonts w:ascii="Times New Roman" w:hAnsi="Times New Roman" w:cs="Times New Roman"/>
          <w:sz w:val="32"/>
          <w:szCs w:val="32"/>
        </w:rPr>
      </w:pPr>
      <w:bookmarkStart w:id="17" w:name="_Toc234529059"/>
      <w:r w:rsidRPr="006862EB">
        <w:rPr>
          <w:rFonts w:ascii="Times New Roman" w:hAnsi="Times New Roman" w:cs="Times New Roman"/>
          <w:sz w:val="32"/>
          <w:szCs w:val="32"/>
        </w:rPr>
        <w:lastRenderedPageBreak/>
        <w:t>7. Power BI Dashboard</w:t>
      </w:r>
      <w:bookmarkEnd w:id="17"/>
    </w:p>
    <w:p w14:paraId="21DE6214" w14:textId="77777777" w:rsidR="00710C56" w:rsidRPr="006862EB" w:rsidRDefault="00000000">
      <w:pPr>
        <w:spacing w:after="160" w:line="300" w:lineRule="auto"/>
        <w:jc w:val="both"/>
        <w:rPr>
          <w:rFonts w:ascii="Times New Roman" w:hAnsi="Times New Roman" w:cs="Times New Roman"/>
          <w:sz w:val="28"/>
          <w:szCs w:val="28"/>
        </w:rPr>
      </w:pPr>
      <w:r w:rsidRPr="006862EB">
        <w:rPr>
          <w:rFonts w:ascii="Times New Roman" w:hAnsi="Times New Roman" w:cs="Times New Roman"/>
          <w:sz w:val="28"/>
          <w:szCs w:val="28"/>
        </w:rPr>
        <w:t>An interactive four-page Power BI dashboard was built to present the analytics in a business-friendly format, allowing stakeholders to explore fund performance and risk without needing to interact with the underlying code.</w:t>
      </w:r>
    </w:p>
    <w:p w14:paraId="6B6559ED" w14:textId="77777777" w:rsidR="00710C56" w:rsidRPr="006862EB" w:rsidRDefault="00000000">
      <w:pPr>
        <w:pStyle w:val="Heading2"/>
        <w:rPr>
          <w:rFonts w:ascii="Times New Roman" w:hAnsi="Times New Roman" w:cs="Times New Roman"/>
        </w:rPr>
      </w:pPr>
      <w:bookmarkStart w:id="18" w:name="_Toc234529060"/>
      <w:r w:rsidRPr="006862EB">
        <w:rPr>
          <w:rFonts w:ascii="Times New Roman" w:hAnsi="Times New Roman" w:cs="Times New Roman"/>
        </w:rPr>
        <w:t>Executive Overview</w:t>
      </w:r>
      <w:bookmarkEnd w:id="18"/>
    </w:p>
    <w:p w14:paraId="2A37CFF0" w14:textId="69D9CA97" w:rsidR="00710C56" w:rsidRPr="006862EB" w:rsidRDefault="00000000">
      <w:pPr>
        <w:pBdr>
          <w:top w:val="dashed" w:sz="4" w:space="6" w:color="BFBFBF"/>
          <w:left w:val="dashed" w:sz="4" w:space="6" w:color="BFBFBF"/>
          <w:bottom w:val="dashed" w:sz="4" w:space="6" w:color="BFBFBF"/>
          <w:right w:val="dashed" w:sz="4" w:space="6" w:color="BFBFBF"/>
        </w:pBdr>
        <w:shd w:val="clear" w:color="auto" w:fill="F2F2F2"/>
        <w:spacing w:before="120" w:after="200"/>
        <w:rPr>
          <w:rFonts w:ascii="Times New Roman" w:hAnsi="Times New Roman" w:cs="Times New Roman"/>
        </w:rPr>
      </w:pPr>
      <w:r w:rsidRPr="006862EB">
        <w:rPr>
          <w:rFonts w:ascii="Times New Roman" w:hAnsi="Times New Roman" w:cs="Times New Roman"/>
          <w:i/>
          <w:iCs/>
          <w:color w:val="595959"/>
        </w:rPr>
        <w:t xml:space="preserve">  </w:t>
      </w:r>
      <w:r w:rsidR="00B369F7" w:rsidRPr="006862EB">
        <w:rPr>
          <w:rFonts w:ascii="Times New Roman" w:hAnsi="Times New Roman" w:cs="Times New Roman"/>
          <w:i/>
          <w:iCs/>
          <w:color w:val="595959"/>
        </w:rPr>
        <w:drawing>
          <wp:inline distT="0" distB="0" distL="0" distR="0" wp14:anchorId="633DFD83" wp14:editId="3DA676E4">
            <wp:extent cx="5943600" cy="3318510"/>
            <wp:effectExtent l="0" t="0" r="0" b="0"/>
            <wp:docPr id="56170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05175" name=""/>
                    <pic:cNvPicPr/>
                  </pic:nvPicPr>
                  <pic:blipFill>
                    <a:blip r:embed="rId11"/>
                    <a:stretch>
                      <a:fillRect/>
                    </a:stretch>
                  </pic:blipFill>
                  <pic:spPr>
                    <a:xfrm>
                      <a:off x="0" y="0"/>
                      <a:ext cx="5943600" cy="3318510"/>
                    </a:xfrm>
                    <a:prstGeom prst="rect">
                      <a:avLst/>
                    </a:prstGeom>
                  </pic:spPr>
                </pic:pic>
              </a:graphicData>
            </a:graphic>
          </wp:inline>
        </w:drawing>
      </w:r>
    </w:p>
    <w:p w14:paraId="3A30E0F6" w14:textId="77777777" w:rsidR="00710C56" w:rsidRPr="006862EB" w:rsidRDefault="00000000">
      <w:pPr>
        <w:spacing w:after="160" w:line="300" w:lineRule="auto"/>
        <w:jc w:val="both"/>
        <w:rPr>
          <w:rFonts w:ascii="Times New Roman" w:hAnsi="Times New Roman" w:cs="Times New Roman"/>
          <w:sz w:val="28"/>
          <w:szCs w:val="28"/>
        </w:rPr>
      </w:pPr>
      <w:r w:rsidRPr="006862EB">
        <w:rPr>
          <w:rFonts w:ascii="Times New Roman" w:hAnsi="Times New Roman" w:cs="Times New Roman"/>
          <w:sz w:val="28"/>
          <w:szCs w:val="28"/>
        </w:rPr>
        <w:t>Provides a high-level summary of total AUM, fund count, and overall portfolio performance for quick decision-making.</w:t>
      </w:r>
    </w:p>
    <w:p w14:paraId="3C59BC1E" w14:textId="77777777" w:rsidR="00B369F7" w:rsidRPr="006862EB" w:rsidRDefault="00B369F7">
      <w:pPr>
        <w:pStyle w:val="Heading2"/>
        <w:rPr>
          <w:rFonts w:ascii="Times New Roman" w:hAnsi="Times New Roman" w:cs="Times New Roman"/>
        </w:rPr>
      </w:pPr>
      <w:bookmarkStart w:id="19" w:name="_Toc234529061"/>
    </w:p>
    <w:p w14:paraId="69DDB74C" w14:textId="77777777" w:rsidR="00B369F7" w:rsidRPr="006862EB" w:rsidRDefault="00B369F7">
      <w:pPr>
        <w:pStyle w:val="Heading2"/>
        <w:rPr>
          <w:rFonts w:ascii="Times New Roman" w:hAnsi="Times New Roman" w:cs="Times New Roman"/>
        </w:rPr>
      </w:pPr>
    </w:p>
    <w:p w14:paraId="64E79CE9" w14:textId="77777777" w:rsidR="00B369F7" w:rsidRPr="006862EB" w:rsidRDefault="00B369F7">
      <w:pPr>
        <w:pStyle w:val="Heading2"/>
        <w:rPr>
          <w:rFonts w:ascii="Times New Roman" w:hAnsi="Times New Roman" w:cs="Times New Roman"/>
        </w:rPr>
      </w:pPr>
    </w:p>
    <w:p w14:paraId="33C15B3B" w14:textId="77777777" w:rsidR="00B369F7" w:rsidRPr="006862EB" w:rsidRDefault="00B369F7">
      <w:pPr>
        <w:pStyle w:val="Heading2"/>
        <w:rPr>
          <w:rFonts w:ascii="Times New Roman" w:hAnsi="Times New Roman" w:cs="Times New Roman"/>
        </w:rPr>
      </w:pPr>
    </w:p>
    <w:p w14:paraId="6FCB6B4B" w14:textId="77777777" w:rsidR="00B369F7" w:rsidRPr="006862EB" w:rsidRDefault="00B369F7">
      <w:pPr>
        <w:pStyle w:val="Heading2"/>
        <w:rPr>
          <w:rFonts w:ascii="Times New Roman" w:hAnsi="Times New Roman" w:cs="Times New Roman"/>
        </w:rPr>
      </w:pPr>
    </w:p>
    <w:p w14:paraId="524660D7" w14:textId="77777777" w:rsidR="00B369F7" w:rsidRPr="006862EB" w:rsidRDefault="00B369F7">
      <w:pPr>
        <w:pStyle w:val="Heading2"/>
        <w:rPr>
          <w:rFonts w:ascii="Times New Roman" w:hAnsi="Times New Roman" w:cs="Times New Roman"/>
        </w:rPr>
      </w:pPr>
    </w:p>
    <w:p w14:paraId="00330EBE" w14:textId="69E005AB" w:rsidR="00710C56" w:rsidRPr="006862EB" w:rsidRDefault="00000000">
      <w:pPr>
        <w:pStyle w:val="Heading2"/>
        <w:rPr>
          <w:rFonts w:ascii="Times New Roman" w:hAnsi="Times New Roman" w:cs="Times New Roman"/>
          <w:sz w:val="36"/>
          <w:szCs w:val="36"/>
        </w:rPr>
      </w:pPr>
      <w:r w:rsidRPr="006862EB">
        <w:rPr>
          <w:rFonts w:ascii="Times New Roman" w:hAnsi="Times New Roman" w:cs="Times New Roman"/>
          <w:sz w:val="36"/>
          <w:szCs w:val="36"/>
        </w:rPr>
        <w:lastRenderedPageBreak/>
        <w:t>Fund Performance</w:t>
      </w:r>
      <w:bookmarkEnd w:id="19"/>
    </w:p>
    <w:p w14:paraId="41C94C8A" w14:textId="08BB7901" w:rsidR="00710C56" w:rsidRPr="006862EB" w:rsidRDefault="00000000">
      <w:pPr>
        <w:pBdr>
          <w:top w:val="dashed" w:sz="4" w:space="6" w:color="BFBFBF"/>
          <w:left w:val="dashed" w:sz="4" w:space="6" w:color="BFBFBF"/>
          <w:bottom w:val="dashed" w:sz="4" w:space="6" w:color="BFBFBF"/>
          <w:right w:val="dashed" w:sz="4" w:space="6" w:color="BFBFBF"/>
        </w:pBdr>
        <w:shd w:val="clear" w:color="auto" w:fill="F2F2F2"/>
        <w:spacing w:before="120" w:after="200"/>
        <w:rPr>
          <w:rFonts w:ascii="Times New Roman" w:hAnsi="Times New Roman" w:cs="Times New Roman"/>
        </w:rPr>
      </w:pPr>
      <w:r w:rsidRPr="006862EB">
        <w:rPr>
          <w:rFonts w:ascii="Times New Roman" w:hAnsi="Times New Roman" w:cs="Times New Roman"/>
          <w:i/>
          <w:iCs/>
          <w:color w:val="595959"/>
        </w:rPr>
        <w:t xml:space="preserve">  </w:t>
      </w:r>
      <w:r w:rsidR="00B369F7" w:rsidRPr="006862EB">
        <w:rPr>
          <w:rFonts w:ascii="Times New Roman" w:hAnsi="Times New Roman" w:cs="Times New Roman"/>
          <w:i/>
          <w:iCs/>
          <w:color w:val="595959"/>
        </w:rPr>
        <w:drawing>
          <wp:inline distT="0" distB="0" distL="0" distR="0" wp14:anchorId="1B1DCAB8" wp14:editId="1979061A">
            <wp:extent cx="5943600" cy="2743200"/>
            <wp:effectExtent l="0" t="0" r="0" b="0"/>
            <wp:docPr id="83861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12597" name=""/>
                    <pic:cNvPicPr/>
                  </pic:nvPicPr>
                  <pic:blipFill>
                    <a:blip r:embed="rId12"/>
                    <a:stretch>
                      <a:fillRect/>
                    </a:stretch>
                  </pic:blipFill>
                  <pic:spPr>
                    <a:xfrm>
                      <a:off x="0" y="0"/>
                      <a:ext cx="5943600" cy="2743200"/>
                    </a:xfrm>
                    <a:prstGeom prst="rect">
                      <a:avLst/>
                    </a:prstGeom>
                  </pic:spPr>
                </pic:pic>
              </a:graphicData>
            </a:graphic>
          </wp:inline>
        </w:drawing>
      </w:r>
    </w:p>
    <w:p w14:paraId="628A28D8" w14:textId="77777777" w:rsidR="00710C56" w:rsidRPr="006862EB" w:rsidRDefault="00000000">
      <w:pPr>
        <w:spacing w:after="160" w:line="300" w:lineRule="auto"/>
        <w:jc w:val="both"/>
        <w:rPr>
          <w:rFonts w:ascii="Times New Roman" w:hAnsi="Times New Roman" w:cs="Times New Roman"/>
        </w:rPr>
      </w:pPr>
      <w:r w:rsidRPr="006862EB">
        <w:rPr>
          <w:rFonts w:ascii="Times New Roman" w:hAnsi="Times New Roman" w:cs="Times New Roman"/>
          <w:sz w:val="28"/>
          <w:szCs w:val="28"/>
        </w:rPr>
        <w:t>Highlights return trends, CAGR, and risk-adjusted metrics across individual schemes and fund categories</w:t>
      </w:r>
      <w:r w:rsidRPr="006862EB">
        <w:rPr>
          <w:rFonts w:ascii="Times New Roman" w:hAnsi="Times New Roman" w:cs="Times New Roman"/>
        </w:rPr>
        <w:t>.</w:t>
      </w:r>
    </w:p>
    <w:p w14:paraId="694DBF1B" w14:textId="77777777" w:rsidR="00710C56" w:rsidRPr="006862EB" w:rsidRDefault="00000000">
      <w:pPr>
        <w:pStyle w:val="Heading2"/>
        <w:rPr>
          <w:rFonts w:ascii="Times New Roman" w:hAnsi="Times New Roman" w:cs="Times New Roman"/>
          <w:sz w:val="32"/>
          <w:szCs w:val="32"/>
        </w:rPr>
      </w:pPr>
      <w:bookmarkStart w:id="20" w:name="_Toc234529062"/>
      <w:r w:rsidRPr="006862EB">
        <w:rPr>
          <w:rFonts w:ascii="Times New Roman" w:hAnsi="Times New Roman" w:cs="Times New Roman"/>
          <w:sz w:val="32"/>
          <w:szCs w:val="32"/>
        </w:rPr>
        <w:t>Investor Analysis</w:t>
      </w:r>
      <w:bookmarkEnd w:id="20"/>
    </w:p>
    <w:p w14:paraId="0C653FA7" w14:textId="442DC877" w:rsidR="00710C56" w:rsidRPr="006862EB" w:rsidRDefault="00B369F7">
      <w:pPr>
        <w:spacing w:after="160" w:line="300" w:lineRule="auto"/>
        <w:jc w:val="both"/>
        <w:rPr>
          <w:rFonts w:ascii="Times New Roman" w:hAnsi="Times New Roman" w:cs="Times New Roman"/>
        </w:rPr>
      </w:pPr>
      <w:r w:rsidRPr="006862EB">
        <w:rPr>
          <w:rFonts w:ascii="Times New Roman" w:hAnsi="Times New Roman" w:cs="Times New Roman"/>
          <w:i/>
          <w:iCs/>
          <w:color w:val="595959"/>
        </w:rPr>
        <w:drawing>
          <wp:inline distT="0" distB="0" distL="0" distR="0" wp14:anchorId="2B7048D6" wp14:editId="093996C2">
            <wp:extent cx="5943600" cy="2621280"/>
            <wp:effectExtent l="0" t="0" r="0" b="7620"/>
            <wp:docPr id="139135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56065" name=""/>
                    <pic:cNvPicPr/>
                  </pic:nvPicPr>
                  <pic:blipFill>
                    <a:blip r:embed="rId13"/>
                    <a:stretch>
                      <a:fillRect/>
                    </a:stretch>
                  </pic:blipFill>
                  <pic:spPr>
                    <a:xfrm>
                      <a:off x="0" y="0"/>
                      <a:ext cx="5943600" cy="2621280"/>
                    </a:xfrm>
                    <a:prstGeom prst="rect">
                      <a:avLst/>
                    </a:prstGeom>
                  </pic:spPr>
                </pic:pic>
              </a:graphicData>
            </a:graphic>
          </wp:inline>
        </w:drawing>
      </w:r>
      <w:r w:rsidR="00000000" w:rsidRPr="006862EB">
        <w:rPr>
          <w:rFonts w:ascii="Times New Roman" w:hAnsi="Times New Roman" w:cs="Times New Roman"/>
          <w:sz w:val="28"/>
          <w:szCs w:val="28"/>
        </w:rPr>
        <w:t>Breaks down investor demographics, SIP behaviour, and cohort trends to reveal investment patterns over time.</w:t>
      </w:r>
    </w:p>
    <w:p w14:paraId="696B1C06" w14:textId="77777777" w:rsidR="00B369F7" w:rsidRPr="006862EB" w:rsidRDefault="00B369F7">
      <w:pPr>
        <w:pStyle w:val="Heading2"/>
        <w:rPr>
          <w:rFonts w:ascii="Times New Roman" w:hAnsi="Times New Roman" w:cs="Times New Roman"/>
        </w:rPr>
      </w:pPr>
      <w:bookmarkStart w:id="21" w:name="_Toc234529063"/>
    </w:p>
    <w:p w14:paraId="2347B1E7" w14:textId="33AC05E6" w:rsidR="00710C56" w:rsidRPr="006862EB" w:rsidRDefault="00000000">
      <w:pPr>
        <w:pStyle w:val="Heading2"/>
        <w:rPr>
          <w:rFonts w:ascii="Times New Roman" w:hAnsi="Times New Roman" w:cs="Times New Roman"/>
          <w:sz w:val="32"/>
          <w:szCs w:val="32"/>
        </w:rPr>
      </w:pPr>
      <w:r w:rsidRPr="006862EB">
        <w:rPr>
          <w:rFonts w:ascii="Times New Roman" w:hAnsi="Times New Roman" w:cs="Times New Roman"/>
          <w:sz w:val="32"/>
          <w:szCs w:val="32"/>
        </w:rPr>
        <w:lastRenderedPageBreak/>
        <w:t>Risk Analytics</w:t>
      </w:r>
      <w:bookmarkEnd w:id="21"/>
    </w:p>
    <w:p w14:paraId="49A58D1A" w14:textId="77777777" w:rsidR="00B369F7" w:rsidRPr="006862EB" w:rsidRDefault="00000000" w:rsidP="00B369F7">
      <w:pPr>
        <w:pBdr>
          <w:top w:val="dashed" w:sz="4" w:space="6" w:color="BFBFBF"/>
          <w:left w:val="dashed" w:sz="4" w:space="6" w:color="BFBFBF"/>
          <w:bottom w:val="dashed" w:sz="4" w:space="6" w:color="BFBFBF"/>
          <w:right w:val="dashed" w:sz="4" w:space="6" w:color="BFBFBF"/>
        </w:pBdr>
        <w:shd w:val="clear" w:color="auto" w:fill="F2F2F2"/>
        <w:spacing w:before="120" w:after="200"/>
        <w:rPr>
          <w:rFonts w:ascii="Times New Roman" w:hAnsi="Times New Roman" w:cs="Times New Roman"/>
          <w:i/>
          <w:iCs/>
          <w:color w:val="595959"/>
        </w:rPr>
      </w:pPr>
      <w:r w:rsidRPr="006862EB">
        <w:rPr>
          <w:rFonts w:ascii="Times New Roman" w:hAnsi="Times New Roman" w:cs="Times New Roman"/>
          <w:i/>
          <w:iCs/>
          <w:color w:val="595959"/>
        </w:rPr>
        <w:t xml:space="preserve">  </w:t>
      </w:r>
      <w:r w:rsidR="00B369F7" w:rsidRPr="006862EB">
        <w:rPr>
          <w:rFonts w:ascii="Times New Roman" w:hAnsi="Times New Roman" w:cs="Times New Roman"/>
          <w:i/>
          <w:iCs/>
          <w:color w:val="595959"/>
        </w:rPr>
        <w:drawing>
          <wp:inline distT="0" distB="0" distL="0" distR="0" wp14:anchorId="546C38A2" wp14:editId="56C5837B">
            <wp:extent cx="4846740" cy="4473328"/>
            <wp:effectExtent l="0" t="0" r="0" b="3810"/>
            <wp:docPr id="164136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67017" name=""/>
                    <pic:cNvPicPr/>
                  </pic:nvPicPr>
                  <pic:blipFill>
                    <a:blip r:embed="rId14"/>
                    <a:stretch>
                      <a:fillRect/>
                    </a:stretch>
                  </pic:blipFill>
                  <pic:spPr>
                    <a:xfrm>
                      <a:off x="0" y="0"/>
                      <a:ext cx="4846740" cy="4473328"/>
                    </a:xfrm>
                    <a:prstGeom prst="rect">
                      <a:avLst/>
                    </a:prstGeom>
                  </pic:spPr>
                </pic:pic>
              </a:graphicData>
            </a:graphic>
          </wp:inline>
        </w:drawing>
      </w:r>
    </w:p>
    <w:p w14:paraId="31DED3A4" w14:textId="7251DD59" w:rsidR="00710C56" w:rsidRPr="006862EB" w:rsidRDefault="00000000" w:rsidP="00B369F7">
      <w:pPr>
        <w:pBdr>
          <w:top w:val="dashed" w:sz="4" w:space="6" w:color="BFBFBF"/>
          <w:left w:val="dashed" w:sz="4" w:space="6" w:color="BFBFBF"/>
          <w:bottom w:val="dashed" w:sz="4" w:space="6" w:color="BFBFBF"/>
          <w:right w:val="dashed" w:sz="4" w:space="6" w:color="BFBFBF"/>
        </w:pBdr>
        <w:shd w:val="clear" w:color="auto" w:fill="F2F2F2"/>
        <w:spacing w:before="120" w:after="200"/>
        <w:rPr>
          <w:rFonts w:ascii="Times New Roman" w:hAnsi="Times New Roman" w:cs="Times New Roman"/>
          <w:sz w:val="28"/>
          <w:szCs w:val="28"/>
        </w:rPr>
      </w:pPr>
      <w:r w:rsidRPr="006862EB">
        <w:rPr>
          <w:rFonts w:ascii="Times New Roman" w:hAnsi="Times New Roman" w:cs="Times New Roman"/>
          <w:sz w:val="28"/>
          <w:szCs w:val="28"/>
        </w:rPr>
        <w:t xml:space="preserve">Visualizes </w:t>
      </w:r>
      <w:proofErr w:type="spellStart"/>
      <w:r w:rsidRPr="006862EB">
        <w:rPr>
          <w:rFonts w:ascii="Times New Roman" w:hAnsi="Times New Roman" w:cs="Times New Roman"/>
          <w:sz w:val="28"/>
          <w:szCs w:val="28"/>
        </w:rPr>
        <w:t>VaR</w:t>
      </w:r>
      <w:proofErr w:type="spellEnd"/>
      <w:r w:rsidRPr="006862EB">
        <w:rPr>
          <w:rFonts w:ascii="Times New Roman" w:hAnsi="Times New Roman" w:cs="Times New Roman"/>
          <w:sz w:val="28"/>
          <w:szCs w:val="28"/>
        </w:rPr>
        <w:t>, CVaR, Beta, and Rolling Sharpe Ratio to help identify and compare risk exposure across funds.</w:t>
      </w:r>
    </w:p>
    <w:p w14:paraId="4C69FD7D" w14:textId="77777777" w:rsidR="00710C56" w:rsidRPr="006862EB" w:rsidRDefault="00000000">
      <w:pPr>
        <w:rPr>
          <w:rFonts w:ascii="Times New Roman" w:hAnsi="Times New Roman" w:cs="Times New Roman"/>
        </w:rPr>
      </w:pPr>
      <w:r w:rsidRPr="006862EB">
        <w:rPr>
          <w:rFonts w:ascii="Times New Roman" w:hAnsi="Times New Roman" w:cs="Times New Roman"/>
        </w:rPr>
        <w:br w:type="page"/>
      </w:r>
    </w:p>
    <w:p w14:paraId="192E861F" w14:textId="77777777" w:rsidR="00710C56" w:rsidRPr="006862EB" w:rsidRDefault="00000000">
      <w:pPr>
        <w:pStyle w:val="Heading1"/>
        <w:pBdr>
          <w:bottom w:val="single" w:sz="6" w:space="4" w:color="2E75B6"/>
        </w:pBdr>
        <w:rPr>
          <w:rFonts w:ascii="Times New Roman" w:hAnsi="Times New Roman" w:cs="Times New Roman"/>
          <w:sz w:val="32"/>
          <w:szCs w:val="32"/>
        </w:rPr>
      </w:pPr>
      <w:bookmarkStart w:id="22" w:name="_Toc234529064"/>
      <w:r w:rsidRPr="006862EB">
        <w:rPr>
          <w:rFonts w:ascii="Times New Roman" w:hAnsi="Times New Roman" w:cs="Times New Roman"/>
          <w:sz w:val="32"/>
          <w:szCs w:val="32"/>
        </w:rPr>
        <w:lastRenderedPageBreak/>
        <w:t>8. Advanced Analytics</w:t>
      </w:r>
      <w:bookmarkEnd w:id="22"/>
    </w:p>
    <w:p w14:paraId="28DC0158" w14:textId="77777777" w:rsidR="00710C56" w:rsidRPr="006862EB" w:rsidRDefault="00000000">
      <w:pPr>
        <w:pStyle w:val="Heading2"/>
        <w:rPr>
          <w:rFonts w:ascii="Times New Roman" w:hAnsi="Times New Roman" w:cs="Times New Roman"/>
          <w:sz w:val="32"/>
          <w:szCs w:val="32"/>
        </w:rPr>
      </w:pPr>
      <w:bookmarkStart w:id="23" w:name="_Toc234529065"/>
      <w:r w:rsidRPr="006862EB">
        <w:rPr>
          <w:rFonts w:ascii="Times New Roman" w:hAnsi="Times New Roman" w:cs="Times New Roman"/>
          <w:sz w:val="32"/>
          <w:szCs w:val="32"/>
        </w:rPr>
        <w:t xml:space="preserve">Historical </w:t>
      </w:r>
      <w:proofErr w:type="spellStart"/>
      <w:r w:rsidRPr="006862EB">
        <w:rPr>
          <w:rFonts w:ascii="Times New Roman" w:hAnsi="Times New Roman" w:cs="Times New Roman"/>
          <w:sz w:val="32"/>
          <w:szCs w:val="32"/>
        </w:rPr>
        <w:t>VaR</w:t>
      </w:r>
      <w:proofErr w:type="spellEnd"/>
      <w:r w:rsidRPr="006862EB">
        <w:rPr>
          <w:rFonts w:ascii="Times New Roman" w:hAnsi="Times New Roman" w:cs="Times New Roman"/>
          <w:sz w:val="32"/>
          <w:szCs w:val="32"/>
        </w:rPr>
        <w:t xml:space="preserve"> (40 schemes)</w:t>
      </w:r>
      <w:bookmarkEnd w:id="23"/>
    </w:p>
    <w:p w14:paraId="1B2C5BA5" w14:textId="77777777" w:rsidR="00710C56" w:rsidRPr="006862EB" w:rsidRDefault="00000000">
      <w:pPr>
        <w:spacing w:after="160" w:line="300" w:lineRule="auto"/>
        <w:jc w:val="both"/>
        <w:rPr>
          <w:rFonts w:ascii="Times New Roman" w:hAnsi="Times New Roman" w:cs="Times New Roman"/>
        </w:rPr>
      </w:pPr>
      <w:r w:rsidRPr="006862EB">
        <w:rPr>
          <w:rFonts w:ascii="Times New Roman" w:hAnsi="Times New Roman" w:cs="Times New Roman"/>
          <w:sz w:val="28"/>
          <w:szCs w:val="28"/>
        </w:rPr>
        <w:t xml:space="preserve">Historical </w:t>
      </w:r>
      <w:proofErr w:type="spellStart"/>
      <w:r w:rsidRPr="006862EB">
        <w:rPr>
          <w:rFonts w:ascii="Times New Roman" w:hAnsi="Times New Roman" w:cs="Times New Roman"/>
          <w:sz w:val="28"/>
          <w:szCs w:val="28"/>
        </w:rPr>
        <w:t>VaR</w:t>
      </w:r>
      <w:proofErr w:type="spellEnd"/>
      <w:r w:rsidRPr="006862EB">
        <w:rPr>
          <w:rFonts w:ascii="Times New Roman" w:hAnsi="Times New Roman" w:cs="Times New Roman"/>
          <w:sz w:val="28"/>
          <w:szCs w:val="28"/>
        </w:rPr>
        <w:t xml:space="preserve"> was calculated across 40 mutual fund schemes to rank funds by downside risk and identify those most likely to produce large losses under adverse market conditions</w:t>
      </w:r>
      <w:r w:rsidRPr="006862EB">
        <w:rPr>
          <w:rFonts w:ascii="Times New Roman" w:hAnsi="Times New Roman" w:cs="Times New Roman"/>
        </w:rPr>
        <w:t>.</w:t>
      </w:r>
    </w:p>
    <w:p w14:paraId="0FC49825" w14:textId="49EC7C11" w:rsidR="00710C56" w:rsidRPr="006862EB" w:rsidRDefault="00000000">
      <w:pPr>
        <w:pBdr>
          <w:top w:val="dashed" w:sz="4" w:space="6" w:color="BFBFBF"/>
          <w:left w:val="dashed" w:sz="4" w:space="6" w:color="BFBFBF"/>
          <w:bottom w:val="dashed" w:sz="4" w:space="6" w:color="BFBFBF"/>
          <w:right w:val="dashed" w:sz="4" w:space="6" w:color="BFBFBF"/>
        </w:pBdr>
        <w:shd w:val="clear" w:color="auto" w:fill="F2F2F2"/>
        <w:spacing w:before="120" w:after="200"/>
        <w:rPr>
          <w:rFonts w:ascii="Times New Roman" w:hAnsi="Times New Roman" w:cs="Times New Roman"/>
        </w:rPr>
      </w:pPr>
      <w:r w:rsidRPr="006862EB">
        <w:rPr>
          <w:rFonts w:ascii="Times New Roman" w:hAnsi="Times New Roman" w:cs="Times New Roman"/>
          <w:i/>
          <w:iCs/>
          <w:color w:val="595959"/>
        </w:rPr>
        <w:t xml:space="preserve">  </w:t>
      </w:r>
      <w:r w:rsidR="00A12993" w:rsidRPr="006862EB">
        <w:rPr>
          <w:rFonts w:ascii="Times New Roman" w:hAnsi="Times New Roman" w:cs="Times New Roman"/>
          <w:i/>
          <w:iCs/>
          <w:color w:val="595959"/>
        </w:rPr>
        <w:drawing>
          <wp:inline distT="0" distB="0" distL="0" distR="0" wp14:anchorId="10607132" wp14:editId="5EE3368C">
            <wp:extent cx="5395428" cy="2834886"/>
            <wp:effectExtent l="0" t="0" r="0" b="3810"/>
            <wp:docPr id="206367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72354" name=""/>
                    <pic:cNvPicPr/>
                  </pic:nvPicPr>
                  <pic:blipFill>
                    <a:blip r:embed="rId15"/>
                    <a:stretch>
                      <a:fillRect/>
                    </a:stretch>
                  </pic:blipFill>
                  <pic:spPr>
                    <a:xfrm>
                      <a:off x="0" y="0"/>
                      <a:ext cx="5395428" cy="2834886"/>
                    </a:xfrm>
                    <a:prstGeom prst="rect">
                      <a:avLst/>
                    </a:prstGeom>
                  </pic:spPr>
                </pic:pic>
              </a:graphicData>
            </a:graphic>
          </wp:inline>
        </w:drawing>
      </w:r>
    </w:p>
    <w:p w14:paraId="040D76B2" w14:textId="77777777" w:rsidR="00710C56" w:rsidRPr="006862EB" w:rsidRDefault="00000000">
      <w:pPr>
        <w:pStyle w:val="Heading2"/>
        <w:rPr>
          <w:rFonts w:ascii="Times New Roman" w:hAnsi="Times New Roman" w:cs="Times New Roman"/>
          <w:sz w:val="28"/>
          <w:szCs w:val="28"/>
        </w:rPr>
      </w:pPr>
      <w:bookmarkStart w:id="24" w:name="_Toc234529066"/>
      <w:r w:rsidRPr="006862EB">
        <w:rPr>
          <w:rFonts w:ascii="Times New Roman" w:hAnsi="Times New Roman" w:cs="Times New Roman"/>
          <w:sz w:val="28"/>
          <w:szCs w:val="28"/>
        </w:rPr>
        <w:t>Rolling Sharpe Ratio</w:t>
      </w:r>
      <w:bookmarkEnd w:id="24"/>
    </w:p>
    <w:p w14:paraId="138F476F" w14:textId="77777777" w:rsidR="00710C56" w:rsidRPr="006862EB" w:rsidRDefault="00000000">
      <w:pPr>
        <w:spacing w:after="160" w:line="300" w:lineRule="auto"/>
        <w:jc w:val="both"/>
        <w:rPr>
          <w:rFonts w:ascii="Times New Roman" w:hAnsi="Times New Roman" w:cs="Times New Roman"/>
          <w:sz w:val="28"/>
          <w:szCs w:val="28"/>
        </w:rPr>
      </w:pPr>
      <w:r w:rsidRPr="006862EB">
        <w:rPr>
          <w:rFonts w:ascii="Times New Roman" w:hAnsi="Times New Roman" w:cs="Times New Roman"/>
          <w:sz w:val="28"/>
          <w:szCs w:val="28"/>
        </w:rPr>
        <w:t>The Rolling Sharpe Ratio was tracked over time to detect shifts in a fund's risk-adjusted performance, revealing periods where returns became less consistent relative to volatility.</w:t>
      </w:r>
    </w:p>
    <w:p w14:paraId="6D243594" w14:textId="77777777" w:rsidR="00710C56" w:rsidRPr="006862EB" w:rsidRDefault="00000000">
      <w:pPr>
        <w:pStyle w:val="Heading2"/>
        <w:rPr>
          <w:rFonts w:ascii="Times New Roman" w:hAnsi="Times New Roman" w:cs="Times New Roman"/>
          <w:sz w:val="28"/>
          <w:szCs w:val="28"/>
        </w:rPr>
      </w:pPr>
      <w:bookmarkStart w:id="25" w:name="_Toc234529067"/>
      <w:r w:rsidRPr="006862EB">
        <w:rPr>
          <w:rFonts w:ascii="Times New Roman" w:hAnsi="Times New Roman" w:cs="Times New Roman"/>
          <w:sz w:val="28"/>
          <w:szCs w:val="28"/>
        </w:rPr>
        <w:t>Investor Cohort Analysis</w:t>
      </w:r>
      <w:bookmarkEnd w:id="25"/>
    </w:p>
    <w:p w14:paraId="21286B86" w14:textId="77777777" w:rsidR="00710C56" w:rsidRPr="006862EB" w:rsidRDefault="00000000">
      <w:pPr>
        <w:spacing w:after="160" w:line="300" w:lineRule="auto"/>
        <w:jc w:val="both"/>
        <w:rPr>
          <w:rFonts w:ascii="Times New Roman" w:hAnsi="Times New Roman" w:cs="Times New Roman"/>
        </w:rPr>
      </w:pPr>
      <w:r w:rsidRPr="006862EB">
        <w:rPr>
          <w:rFonts w:ascii="Times New Roman" w:hAnsi="Times New Roman" w:cs="Times New Roman"/>
          <w:sz w:val="28"/>
          <w:szCs w:val="28"/>
        </w:rPr>
        <w:t>Investors were grouped into cohorts based on when they began investing, allowing the project to compare retention, contribution patterns, and behaviour across different investor generations</w:t>
      </w:r>
      <w:r w:rsidRPr="006862EB">
        <w:rPr>
          <w:rFonts w:ascii="Times New Roman" w:hAnsi="Times New Roman" w:cs="Times New Roman"/>
        </w:rPr>
        <w:t>.</w:t>
      </w:r>
    </w:p>
    <w:p w14:paraId="2515653D" w14:textId="77777777" w:rsidR="007A370E" w:rsidRPr="006862EB" w:rsidRDefault="00000000" w:rsidP="00A12993">
      <w:pPr>
        <w:pBdr>
          <w:top w:val="dashed" w:sz="4" w:space="6" w:color="BFBFBF"/>
          <w:left w:val="dashed" w:sz="4" w:space="6" w:color="BFBFBF"/>
          <w:bottom w:val="dashed" w:sz="4" w:space="6" w:color="BFBFBF"/>
          <w:right w:val="dashed" w:sz="4" w:space="6" w:color="BFBFBF"/>
        </w:pBdr>
        <w:shd w:val="clear" w:color="auto" w:fill="F2F2F2"/>
        <w:spacing w:before="120" w:after="200"/>
        <w:rPr>
          <w:rFonts w:ascii="Times New Roman" w:hAnsi="Times New Roman" w:cs="Times New Roman"/>
          <w:i/>
          <w:iCs/>
          <w:color w:val="595959"/>
        </w:rPr>
      </w:pPr>
      <w:r w:rsidRPr="006862EB">
        <w:rPr>
          <w:rFonts w:ascii="Times New Roman" w:hAnsi="Times New Roman" w:cs="Times New Roman"/>
          <w:i/>
          <w:iCs/>
          <w:color w:val="595959"/>
        </w:rPr>
        <w:t xml:space="preserve">  </w:t>
      </w:r>
      <w:bookmarkStart w:id="26" w:name="_Toc234529068"/>
      <w:r w:rsidR="00A12993" w:rsidRPr="006862EB">
        <w:rPr>
          <w:rFonts w:ascii="Times New Roman" w:hAnsi="Times New Roman" w:cs="Times New Roman"/>
          <w:i/>
          <w:iCs/>
          <w:color w:val="595959"/>
        </w:rPr>
        <w:drawing>
          <wp:inline distT="0" distB="0" distL="0" distR="0" wp14:anchorId="7F970768" wp14:editId="6484B0E1">
            <wp:extent cx="4991098" cy="777240"/>
            <wp:effectExtent l="0" t="0" r="635" b="3810"/>
            <wp:docPr id="182122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23048" name=""/>
                    <pic:cNvPicPr/>
                  </pic:nvPicPr>
                  <pic:blipFill>
                    <a:blip r:embed="rId16"/>
                    <a:stretch>
                      <a:fillRect/>
                    </a:stretch>
                  </pic:blipFill>
                  <pic:spPr>
                    <a:xfrm>
                      <a:off x="0" y="0"/>
                      <a:ext cx="4995332" cy="777899"/>
                    </a:xfrm>
                    <a:prstGeom prst="rect">
                      <a:avLst/>
                    </a:prstGeom>
                  </pic:spPr>
                </pic:pic>
              </a:graphicData>
            </a:graphic>
          </wp:inline>
        </w:drawing>
      </w:r>
    </w:p>
    <w:bookmarkEnd w:id="26"/>
    <w:p w14:paraId="3C050279" w14:textId="27D814B1" w:rsidR="00A12993" w:rsidRPr="006862EB" w:rsidRDefault="007A370E">
      <w:pPr>
        <w:spacing w:after="160" w:line="300" w:lineRule="auto"/>
        <w:jc w:val="both"/>
        <w:rPr>
          <w:rFonts w:ascii="Times New Roman" w:hAnsi="Times New Roman" w:cs="Times New Roman"/>
          <w:sz w:val="28"/>
          <w:szCs w:val="28"/>
        </w:rPr>
      </w:pPr>
      <w:r w:rsidRPr="006862EB">
        <w:rPr>
          <w:rFonts w:ascii="Times New Roman" w:hAnsi="Times New Roman" w:cs="Times New Roman"/>
          <w:b/>
          <w:bCs/>
          <w:color w:val="2E75B6"/>
          <w:sz w:val="28"/>
          <w:szCs w:val="28"/>
        </w:rPr>
        <w:lastRenderedPageBreak/>
        <w:t>SIP</w:t>
      </w:r>
      <w:r w:rsidRPr="006862EB">
        <w:rPr>
          <w:rFonts w:ascii="Times New Roman" w:hAnsi="Times New Roman" w:cs="Times New Roman"/>
          <w:b/>
          <w:bCs/>
          <w:color w:val="2E75B6"/>
          <w:sz w:val="28"/>
          <w:szCs w:val="28"/>
        </w:rPr>
        <w:t xml:space="preserve"> </w:t>
      </w:r>
      <w:r w:rsidR="00A12993" w:rsidRPr="006862EB">
        <w:rPr>
          <w:rFonts w:ascii="Times New Roman" w:hAnsi="Times New Roman" w:cs="Times New Roman"/>
          <w:b/>
          <w:bCs/>
          <w:color w:val="2E75B6"/>
          <w:sz w:val="28"/>
          <w:szCs w:val="28"/>
        </w:rPr>
        <w:t>Continuity Analysis</w:t>
      </w:r>
    </w:p>
    <w:p w14:paraId="7FA12701" w14:textId="6FFC458C" w:rsidR="00710C56" w:rsidRPr="006862EB" w:rsidRDefault="00000000">
      <w:pPr>
        <w:spacing w:after="160" w:line="300" w:lineRule="auto"/>
        <w:jc w:val="both"/>
        <w:rPr>
          <w:rFonts w:ascii="Times New Roman" w:hAnsi="Times New Roman" w:cs="Times New Roman"/>
          <w:sz w:val="28"/>
          <w:szCs w:val="28"/>
        </w:rPr>
      </w:pPr>
      <w:r w:rsidRPr="006862EB">
        <w:rPr>
          <w:rFonts w:ascii="Times New Roman" w:hAnsi="Times New Roman" w:cs="Times New Roman"/>
          <w:sz w:val="28"/>
          <w:szCs w:val="28"/>
        </w:rPr>
        <w:t>SIP continuity analysis examined the regularity of Systematic Investment Plan contributions, identifying investors with lapsed or irregular SIPs who may benefit from re-engagement.</w:t>
      </w:r>
    </w:p>
    <w:p w14:paraId="541426B5" w14:textId="77777777" w:rsidR="00A12993" w:rsidRPr="006862EB" w:rsidRDefault="00A12993">
      <w:pPr>
        <w:pStyle w:val="Heading2"/>
        <w:rPr>
          <w:rFonts w:ascii="Times New Roman" w:hAnsi="Times New Roman" w:cs="Times New Roman"/>
        </w:rPr>
      </w:pPr>
      <w:bookmarkStart w:id="27" w:name="_Toc234529069"/>
      <w:r w:rsidRPr="006862EB">
        <w:rPr>
          <w:rFonts w:ascii="Times New Roman" w:hAnsi="Times New Roman" w:cs="Times New Roman"/>
          <w:b w:val="0"/>
          <w:bCs w:val="0"/>
          <w:i/>
          <w:iCs/>
          <w:color w:val="595959"/>
          <w:sz w:val="22"/>
          <w:szCs w:val="22"/>
        </w:rPr>
        <w:drawing>
          <wp:inline distT="0" distB="0" distL="0" distR="0" wp14:anchorId="125CB289" wp14:editId="0939F98E">
            <wp:extent cx="2933954" cy="228620"/>
            <wp:effectExtent l="0" t="0" r="0" b="0"/>
            <wp:docPr id="44145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50882" name=""/>
                    <pic:cNvPicPr/>
                  </pic:nvPicPr>
                  <pic:blipFill>
                    <a:blip r:embed="rId17"/>
                    <a:stretch>
                      <a:fillRect/>
                    </a:stretch>
                  </pic:blipFill>
                  <pic:spPr>
                    <a:xfrm>
                      <a:off x="0" y="0"/>
                      <a:ext cx="2933954" cy="228620"/>
                    </a:xfrm>
                    <a:prstGeom prst="rect">
                      <a:avLst/>
                    </a:prstGeom>
                  </pic:spPr>
                </pic:pic>
              </a:graphicData>
            </a:graphic>
          </wp:inline>
        </w:drawing>
      </w:r>
    </w:p>
    <w:p w14:paraId="2A19A26C" w14:textId="10277084" w:rsidR="00710C56" w:rsidRPr="006862EB" w:rsidRDefault="00000000">
      <w:pPr>
        <w:pStyle w:val="Heading2"/>
        <w:rPr>
          <w:rFonts w:ascii="Times New Roman" w:hAnsi="Times New Roman" w:cs="Times New Roman"/>
          <w:sz w:val="28"/>
          <w:szCs w:val="28"/>
        </w:rPr>
      </w:pPr>
      <w:r w:rsidRPr="006862EB">
        <w:rPr>
          <w:rFonts w:ascii="Times New Roman" w:hAnsi="Times New Roman" w:cs="Times New Roman"/>
          <w:sz w:val="28"/>
          <w:szCs w:val="28"/>
        </w:rPr>
        <w:t>Sector HHI Analysis</w:t>
      </w:r>
      <w:bookmarkEnd w:id="27"/>
    </w:p>
    <w:p w14:paraId="3478DA02" w14:textId="77777777" w:rsidR="00710C56" w:rsidRPr="006862EB" w:rsidRDefault="00000000">
      <w:pPr>
        <w:spacing w:after="160" w:line="300" w:lineRule="auto"/>
        <w:jc w:val="both"/>
        <w:rPr>
          <w:rFonts w:ascii="Times New Roman" w:hAnsi="Times New Roman" w:cs="Times New Roman"/>
        </w:rPr>
      </w:pPr>
      <w:r w:rsidRPr="006862EB">
        <w:rPr>
          <w:rFonts w:ascii="Times New Roman" w:hAnsi="Times New Roman" w:cs="Times New Roman"/>
          <w:sz w:val="28"/>
          <w:szCs w:val="28"/>
        </w:rPr>
        <w:t>The Herfindahl–Hirschman Index (HHI) was applied to portfolio holdings to measure sector concentration risk, with higher HHI values indicating portfolios that are more concentrated in a small number of sectors</w:t>
      </w:r>
      <w:r w:rsidRPr="006862EB">
        <w:rPr>
          <w:rFonts w:ascii="Times New Roman" w:hAnsi="Times New Roman" w:cs="Times New Roman"/>
        </w:rPr>
        <w:t>.</w:t>
      </w:r>
    </w:p>
    <w:p w14:paraId="124EF02F" w14:textId="77777777" w:rsidR="00A12993" w:rsidRPr="006862EB" w:rsidRDefault="00A12993">
      <w:pPr>
        <w:pStyle w:val="Heading2"/>
        <w:rPr>
          <w:rFonts w:ascii="Times New Roman" w:hAnsi="Times New Roman" w:cs="Times New Roman"/>
        </w:rPr>
      </w:pPr>
      <w:bookmarkStart w:id="28" w:name="_Toc234529070"/>
      <w:r w:rsidRPr="006862EB">
        <w:rPr>
          <w:rFonts w:ascii="Times New Roman" w:hAnsi="Times New Roman" w:cs="Times New Roman"/>
          <w:b w:val="0"/>
          <w:bCs w:val="0"/>
          <w:i/>
          <w:iCs/>
          <w:color w:val="595959"/>
          <w:sz w:val="22"/>
          <w:szCs w:val="22"/>
        </w:rPr>
        <w:drawing>
          <wp:inline distT="0" distB="0" distL="0" distR="0" wp14:anchorId="50E3876F" wp14:editId="43CF9D91">
            <wp:extent cx="1844200" cy="1531753"/>
            <wp:effectExtent l="0" t="0" r="3810" b="0"/>
            <wp:docPr id="96692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5282" name=""/>
                    <pic:cNvPicPr/>
                  </pic:nvPicPr>
                  <pic:blipFill>
                    <a:blip r:embed="rId18"/>
                    <a:stretch>
                      <a:fillRect/>
                    </a:stretch>
                  </pic:blipFill>
                  <pic:spPr>
                    <a:xfrm>
                      <a:off x="0" y="0"/>
                      <a:ext cx="1844200" cy="1531753"/>
                    </a:xfrm>
                    <a:prstGeom prst="rect">
                      <a:avLst/>
                    </a:prstGeom>
                  </pic:spPr>
                </pic:pic>
              </a:graphicData>
            </a:graphic>
          </wp:inline>
        </w:drawing>
      </w:r>
    </w:p>
    <w:p w14:paraId="7348D105" w14:textId="3518C51E" w:rsidR="00710C56" w:rsidRPr="006862EB" w:rsidRDefault="00000000">
      <w:pPr>
        <w:pStyle w:val="Heading2"/>
        <w:rPr>
          <w:rFonts w:ascii="Times New Roman" w:hAnsi="Times New Roman" w:cs="Times New Roman"/>
          <w:sz w:val="28"/>
          <w:szCs w:val="28"/>
        </w:rPr>
      </w:pPr>
      <w:r w:rsidRPr="006862EB">
        <w:rPr>
          <w:rFonts w:ascii="Times New Roman" w:hAnsi="Times New Roman" w:cs="Times New Roman"/>
          <w:sz w:val="28"/>
          <w:szCs w:val="28"/>
        </w:rPr>
        <w:t>Fund Recommender</w:t>
      </w:r>
      <w:bookmarkEnd w:id="28"/>
    </w:p>
    <w:p w14:paraId="4B879A70" w14:textId="77777777" w:rsidR="00710C56" w:rsidRPr="006862EB" w:rsidRDefault="00000000">
      <w:pPr>
        <w:spacing w:after="160" w:line="300" w:lineRule="auto"/>
        <w:jc w:val="both"/>
        <w:rPr>
          <w:rFonts w:ascii="Times New Roman" w:hAnsi="Times New Roman" w:cs="Times New Roman"/>
          <w:sz w:val="28"/>
          <w:szCs w:val="28"/>
        </w:rPr>
      </w:pPr>
      <w:r w:rsidRPr="006862EB">
        <w:rPr>
          <w:rFonts w:ascii="Times New Roman" w:hAnsi="Times New Roman" w:cs="Times New Roman"/>
          <w:sz w:val="28"/>
          <w:szCs w:val="28"/>
        </w:rPr>
        <w:t>A simple rule-based fund recommendation system was built to suggest suitable mutual fund schemes based on an investor's stated risk appetite, balancing expected return against historical volatility and downside risk.</w:t>
      </w:r>
    </w:p>
    <w:p w14:paraId="299F61CA" w14:textId="1791C428" w:rsidR="00710C56" w:rsidRPr="006862EB" w:rsidRDefault="00000000" w:rsidP="00A12993">
      <w:pPr>
        <w:pBdr>
          <w:top w:val="dashed" w:sz="4" w:space="6" w:color="BFBFBF"/>
          <w:left w:val="dashed" w:sz="4" w:space="6" w:color="BFBFBF"/>
          <w:bottom w:val="dashed" w:sz="4" w:space="6" w:color="BFBFBF"/>
          <w:right w:val="dashed" w:sz="4" w:space="6" w:color="BFBFBF"/>
        </w:pBdr>
        <w:shd w:val="clear" w:color="auto" w:fill="F2F2F2"/>
        <w:spacing w:before="120" w:after="200"/>
        <w:rPr>
          <w:rFonts w:ascii="Times New Roman" w:hAnsi="Times New Roman" w:cs="Times New Roman"/>
        </w:rPr>
      </w:pPr>
      <w:r w:rsidRPr="006862EB">
        <w:rPr>
          <w:rFonts w:ascii="Times New Roman" w:hAnsi="Times New Roman" w:cs="Times New Roman"/>
          <w:i/>
          <w:iCs/>
          <w:color w:val="595959"/>
        </w:rPr>
        <w:t xml:space="preserve">  </w:t>
      </w:r>
      <w:r w:rsidR="00A12993" w:rsidRPr="006862EB">
        <w:rPr>
          <w:rFonts w:ascii="Times New Roman" w:hAnsi="Times New Roman" w:cs="Times New Roman"/>
          <w:i/>
          <w:iCs/>
          <w:color w:val="595959"/>
        </w:rPr>
        <w:drawing>
          <wp:inline distT="0" distB="0" distL="0" distR="0" wp14:anchorId="7B7DADAE" wp14:editId="1F7CF362">
            <wp:extent cx="4961050" cy="1417443"/>
            <wp:effectExtent l="0" t="0" r="0" b="0"/>
            <wp:docPr id="119206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60504" name=""/>
                    <pic:cNvPicPr/>
                  </pic:nvPicPr>
                  <pic:blipFill>
                    <a:blip r:embed="rId19"/>
                    <a:stretch>
                      <a:fillRect/>
                    </a:stretch>
                  </pic:blipFill>
                  <pic:spPr>
                    <a:xfrm>
                      <a:off x="0" y="0"/>
                      <a:ext cx="4961050" cy="1417443"/>
                    </a:xfrm>
                    <a:prstGeom prst="rect">
                      <a:avLst/>
                    </a:prstGeom>
                  </pic:spPr>
                </pic:pic>
              </a:graphicData>
            </a:graphic>
          </wp:inline>
        </w:drawing>
      </w:r>
      <w:r w:rsidR="00A12993" w:rsidRPr="006862EB">
        <w:rPr>
          <w:rFonts w:ascii="Times New Roman" w:hAnsi="Times New Roman" w:cs="Times New Roman"/>
          <w:i/>
          <w:iCs/>
          <w:color w:val="595959"/>
        </w:rPr>
        <w:t xml:space="preserve"> </w:t>
      </w:r>
      <w:r w:rsidRPr="006862EB">
        <w:rPr>
          <w:rFonts w:ascii="Times New Roman" w:hAnsi="Times New Roman" w:cs="Times New Roman"/>
        </w:rPr>
        <w:br w:type="page"/>
      </w:r>
    </w:p>
    <w:p w14:paraId="62773C4D" w14:textId="77777777" w:rsidR="00710C56" w:rsidRPr="006862EB" w:rsidRDefault="00000000">
      <w:pPr>
        <w:pStyle w:val="Heading1"/>
        <w:pBdr>
          <w:bottom w:val="single" w:sz="6" w:space="4" w:color="2E75B6"/>
        </w:pBdr>
        <w:rPr>
          <w:rFonts w:ascii="Times New Roman" w:hAnsi="Times New Roman" w:cs="Times New Roman"/>
        </w:rPr>
      </w:pPr>
      <w:bookmarkStart w:id="29" w:name="_Toc234529071"/>
      <w:r w:rsidRPr="006862EB">
        <w:rPr>
          <w:rFonts w:ascii="Times New Roman" w:hAnsi="Times New Roman" w:cs="Times New Roman"/>
        </w:rPr>
        <w:lastRenderedPageBreak/>
        <w:t>9. Key Findings</w:t>
      </w:r>
      <w:bookmarkEnd w:id="29"/>
    </w:p>
    <w:p w14:paraId="15D3CBB2" w14:textId="77777777" w:rsidR="007A370E" w:rsidRPr="006862EB" w:rsidRDefault="007A370E" w:rsidP="007A370E">
      <w:pPr>
        <w:rPr>
          <w:rFonts w:ascii="Times New Roman" w:hAnsi="Times New Roman" w:cs="Times New Roman"/>
          <w:b/>
          <w:bCs/>
          <w:sz w:val="28"/>
          <w:szCs w:val="28"/>
        </w:rPr>
      </w:pPr>
      <w:r w:rsidRPr="006862EB">
        <w:rPr>
          <w:rFonts w:ascii="Times New Roman" w:hAnsi="Times New Roman" w:cs="Times New Roman"/>
          <w:b/>
          <w:bCs/>
          <w:sz w:val="28"/>
          <w:szCs w:val="28"/>
        </w:rPr>
        <w:t xml:space="preserve">1. Risk Identification via Historical </w:t>
      </w:r>
      <w:proofErr w:type="spellStart"/>
      <w:r w:rsidRPr="006862EB">
        <w:rPr>
          <w:rFonts w:ascii="Times New Roman" w:hAnsi="Times New Roman" w:cs="Times New Roman"/>
          <w:b/>
          <w:bCs/>
          <w:sz w:val="28"/>
          <w:szCs w:val="28"/>
        </w:rPr>
        <w:t>VaR</w:t>
      </w:r>
      <w:proofErr w:type="spellEnd"/>
      <w:r w:rsidRPr="006862EB">
        <w:rPr>
          <w:rFonts w:ascii="Times New Roman" w:hAnsi="Times New Roman" w:cs="Times New Roman"/>
          <w:b/>
          <w:bCs/>
          <w:sz w:val="28"/>
          <w:szCs w:val="28"/>
        </w:rPr>
        <w:t xml:space="preserve"> and CVaR</w:t>
      </w:r>
    </w:p>
    <w:p w14:paraId="793A2F05" w14:textId="77777777" w:rsidR="007A370E" w:rsidRPr="006862EB" w:rsidRDefault="007A370E" w:rsidP="007A370E">
      <w:pPr>
        <w:ind w:left="360"/>
        <w:rPr>
          <w:rFonts w:ascii="Times New Roman" w:hAnsi="Times New Roman" w:cs="Times New Roman"/>
          <w:sz w:val="28"/>
          <w:szCs w:val="28"/>
        </w:rPr>
      </w:pPr>
      <w:r w:rsidRPr="006862EB">
        <w:rPr>
          <w:rFonts w:ascii="Times New Roman" w:hAnsi="Times New Roman" w:cs="Times New Roman"/>
          <w:b/>
          <w:bCs/>
          <w:sz w:val="28"/>
          <w:szCs w:val="28"/>
        </w:rPr>
        <w:t>Historical Value at Risk (</w:t>
      </w:r>
      <w:proofErr w:type="spellStart"/>
      <w:r w:rsidRPr="006862EB">
        <w:rPr>
          <w:rFonts w:ascii="Times New Roman" w:hAnsi="Times New Roman" w:cs="Times New Roman"/>
          <w:b/>
          <w:bCs/>
          <w:sz w:val="28"/>
          <w:szCs w:val="28"/>
        </w:rPr>
        <w:t>VaR</w:t>
      </w:r>
      <w:proofErr w:type="spellEnd"/>
      <w:r w:rsidRPr="006862EB">
        <w:rPr>
          <w:rFonts w:ascii="Times New Roman" w:hAnsi="Times New Roman" w:cs="Times New Roman"/>
          <w:b/>
          <w:bCs/>
          <w:sz w:val="28"/>
          <w:szCs w:val="28"/>
        </w:rPr>
        <w:t>)</w:t>
      </w:r>
      <w:r w:rsidRPr="006862EB">
        <w:rPr>
          <w:rFonts w:ascii="Times New Roman" w:hAnsi="Times New Roman" w:cs="Times New Roman"/>
          <w:sz w:val="28"/>
          <w:szCs w:val="28"/>
        </w:rPr>
        <w:t xml:space="preserve"> and </w:t>
      </w:r>
      <w:r w:rsidRPr="006862EB">
        <w:rPr>
          <w:rFonts w:ascii="Times New Roman" w:hAnsi="Times New Roman" w:cs="Times New Roman"/>
          <w:b/>
          <w:bCs/>
          <w:sz w:val="28"/>
          <w:szCs w:val="28"/>
        </w:rPr>
        <w:t>Conditional Value at Risk (CVaR)</w:t>
      </w:r>
      <w:r w:rsidRPr="006862EB">
        <w:rPr>
          <w:rFonts w:ascii="Times New Roman" w:hAnsi="Times New Roman" w:cs="Times New Roman"/>
          <w:sz w:val="28"/>
          <w:szCs w:val="28"/>
        </w:rPr>
        <w:t xml:space="preserve"> provide a realistic look at potential downside losses by testing a portfolio against actual historical market shocks. [</w:t>
      </w:r>
      <w:hyperlink r:id="rId20" w:history="1">
        <w:r w:rsidRPr="006862EB">
          <w:rPr>
            <w:rStyle w:val="Hyperlink"/>
            <w:rFonts w:ascii="Times New Roman" w:hAnsi="Times New Roman" w:cs="Times New Roman"/>
            <w:sz w:val="28"/>
            <w:szCs w:val="28"/>
          </w:rPr>
          <w:t>1</w:t>
        </w:r>
      </w:hyperlink>
      <w:r w:rsidRPr="006862EB">
        <w:rPr>
          <w:rFonts w:ascii="Times New Roman" w:hAnsi="Times New Roman" w:cs="Times New Roman"/>
          <w:sz w:val="28"/>
          <w:szCs w:val="28"/>
        </w:rPr>
        <w:t xml:space="preserve">, </w:t>
      </w:r>
      <w:hyperlink r:id="rId21" w:history="1">
        <w:r w:rsidRPr="006862EB">
          <w:rPr>
            <w:rStyle w:val="Hyperlink"/>
            <w:rFonts w:ascii="Times New Roman" w:hAnsi="Times New Roman" w:cs="Times New Roman"/>
            <w:sz w:val="28"/>
            <w:szCs w:val="28"/>
          </w:rPr>
          <w:t>2</w:t>
        </w:r>
      </w:hyperlink>
      <w:r w:rsidRPr="006862EB">
        <w:rPr>
          <w:rFonts w:ascii="Times New Roman" w:hAnsi="Times New Roman" w:cs="Times New Roman"/>
          <w:sz w:val="28"/>
          <w:szCs w:val="28"/>
        </w:rPr>
        <w:t xml:space="preserve">, </w:t>
      </w:r>
      <w:hyperlink r:id="rId22" w:history="1">
        <w:r w:rsidRPr="006862EB">
          <w:rPr>
            <w:rStyle w:val="Hyperlink"/>
            <w:rFonts w:ascii="Times New Roman" w:hAnsi="Times New Roman" w:cs="Times New Roman"/>
            <w:sz w:val="28"/>
            <w:szCs w:val="28"/>
          </w:rPr>
          <w:t>3</w:t>
        </w:r>
      </w:hyperlink>
      <w:r w:rsidRPr="006862EB">
        <w:rPr>
          <w:rFonts w:ascii="Times New Roman" w:hAnsi="Times New Roman" w:cs="Times New Roman"/>
          <w:sz w:val="28"/>
          <w:szCs w:val="28"/>
        </w:rPr>
        <w:t>]</w:t>
      </w:r>
    </w:p>
    <w:p w14:paraId="482ADE55" w14:textId="77777777" w:rsidR="007A370E" w:rsidRPr="006862EB" w:rsidRDefault="007A370E" w:rsidP="007A370E">
      <w:pPr>
        <w:numPr>
          <w:ilvl w:val="0"/>
          <w:numId w:val="3"/>
        </w:numPr>
        <w:rPr>
          <w:rFonts w:ascii="Times New Roman" w:hAnsi="Times New Roman" w:cs="Times New Roman"/>
          <w:sz w:val="28"/>
          <w:szCs w:val="28"/>
        </w:rPr>
      </w:pPr>
      <w:r w:rsidRPr="006862EB">
        <w:rPr>
          <w:rFonts w:ascii="Times New Roman" w:hAnsi="Times New Roman" w:cs="Times New Roman"/>
          <w:b/>
          <w:bCs/>
          <w:sz w:val="28"/>
          <w:szCs w:val="28"/>
        </w:rPr>
        <w:t xml:space="preserve">Historical </w:t>
      </w:r>
      <w:proofErr w:type="spellStart"/>
      <w:r w:rsidRPr="006862EB">
        <w:rPr>
          <w:rFonts w:ascii="Times New Roman" w:hAnsi="Times New Roman" w:cs="Times New Roman"/>
          <w:b/>
          <w:bCs/>
          <w:sz w:val="28"/>
          <w:szCs w:val="28"/>
        </w:rPr>
        <w:t>VaR</w:t>
      </w:r>
      <w:proofErr w:type="spellEnd"/>
      <w:r w:rsidRPr="006862EB">
        <w:rPr>
          <w:rFonts w:ascii="Times New Roman" w:hAnsi="Times New Roman" w:cs="Times New Roman"/>
          <w:b/>
          <w:bCs/>
          <w:sz w:val="28"/>
          <w:szCs w:val="28"/>
        </w:rPr>
        <w:t xml:space="preserve"> Limitations Overcome</w:t>
      </w:r>
      <w:r w:rsidRPr="006862EB">
        <w:rPr>
          <w:rFonts w:ascii="Times New Roman" w:hAnsi="Times New Roman" w:cs="Times New Roman"/>
          <w:sz w:val="28"/>
          <w:szCs w:val="28"/>
        </w:rPr>
        <w:t xml:space="preserve">: </w:t>
      </w:r>
      <w:proofErr w:type="spellStart"/>
      <w:r w:rsidRPr="006862EB">
        <w:rPr>
          <w:rFonts w:ascii="Times New Roman" w:hAnsi="Times New Roman" w:cs="Times New Roman"/>
          <w:sz w:val="28"/>
          <w:szCs w:val="28"/>
        </w:rPr>
        <w:t>VaR</w:t>
      </w:r>
      <w:proofErr w:type="spellEnd"/>
      <w:r w:rsidRPr="006862EB">
        <w:rPr>
          <w:rFonts w:ascii="Times New Roman" w:hAnsi="Times New Roman" w:cs="Times New Roman"/>
          <w:sz w:val="28"/>
          <w:szCs w:val="28"/>
        </w:rPr>
        <w:t xml:space="preserve"> calculates the maximum expected loss at a specific confidence interval (e.g., a 95% confidence level means a 5% chance the fund will lose more than the calculated amount). However, it fails to explain the severity of losses beyond that threshold. [</w:t>
      </w:r>
      <w:hyperlink r:id="rId23" w:history="1">
        <w:r w:rsidRPr="006862EB">
          <w:rPr>
            <w:rStyle w:val="Hyperlink"/>
            <w:rFonts w:ascii="Times New Roman" w:hAnsi="Times New Roman" w:cs="Times New Roman"/>
            <w:sz w:val="28"/>
            <w:szCs w:val="28"/>
          </w:rPr>
          <w:t>1</w:t>
        </w:r>
      </w:hyperlink>
      <w:r w:rsidRPr="006862EB">
        <w:rPr>
          <w:rFonts w:ascii="Times New Roman" w:hAnsi="Times New Roman" w:cs="Times New Roman"/>
          <w:sz w:val="28"/>
          <w:szCs w:val="28"/>
        </w:rPr>
        <w:t xml:space="preserve">, </w:t>
      </w:r>
      <w:hyperlink r:id="rId24" w:history="1">
        <w:r w:rsidRPr="006862EB">
          <w:rPr>
            <w:rStyle w:val="Hyperlink"/>
            <w:rFonts w:ascii="Times New Roman" w:hAnsi="Times New Roman" w:cs="Times New Roman"/>
            <w:sz w:val="28"/>
            <w:szCs w:val="28"/>
          </w:rPr>
          <w:t>2</w:t>
        </w:r>
      </w:hyperlink>
      <w:r w:rsidRPr="006862EB">
        <w:rPr>
          <w:rFonts w:ascii="Times New Roman" w:hAnsi="Times New Roman" w:cs="Times New Roman"/>
          <w:sz w:val="28"/>
          <w:szCs w:val="28"/>
        </w:rPr>
        <w:t xml:space="preserve">, </w:t>
      </w:r>
      <w:hyperlink r:id="rId25" w:history="1">
        <w:r w:rsidRPr="006862EB">
          <w:rPr>
            <w:rStyle w:val="Hyperlink"/>
            <w:rFonts w:ascii="Times New Roman" w:hAnsi="Times New Roman" w:cs="Times New Roman"/>
            <w:sz w:val="28"/>
            <w:szCs w:val="28"/>
          </w:rPr>
          <w:t>3</w:t>
        </w:r>
      </w:hyperlink>
      <w:r w:rsidRPr="006862EB">
        <w:rPr>
          <w:rFonts w:ascii="Times New Roman" w:hAnsi="Times New Roman" w:cs="Times New Roman"/>
          <w:sz w:val="28"/>
          <w:szCs w:val="28"/>
        </w:rPr>
        <w:t xml:space="preserve">, </w:t>
      </w:r>
      <w:hyperlink r:id="rId26" w:history="1">
        <w:r w:rsidRPr="006862EB">
          <w:rPr>
            <w:rStyle w:val="Hyperlink"/>
            <w:rFonts w:ascii="Times New Roman" w:hAnsi="Times New Roman" w:cs="Times New Roman"/>
            <w:sz w:val="28"/>
            <w:szCs w:val="28"/>
          </w:rPr>
          <w:t>4</w:t>
        </w:r>
      </w:hyperlink>
      <w:r w:rsidRPr="006862EB">
        <w:rPr>
          <w:rFonts w:ascii="Times New Roman" w:hAnsi="Times New Roman" w:cs="Times New Roman"/>
          <w:sz w:val="28"/>
          <w:szCs w:val="28"/>
        </w:rPr>
        <w:t>]</w:t>
      </w:r>
    </w:p>
    <w:p w14:paraId="2FA0451C" w14:textId="77777777" w:rsidR="007A370E" w:rsidRPr="006862EB" w:rsidRDefault="007A370E" w:rsidP="007A370E">
      <w:pPr>
        <w:numPr>
          <w:ilvl w:val="0"/>
          <w:numId w:val="3"/>
        </w:numPr>
        <w:rPr>
          <w:rFonts w:ascii="Times New Roman" w:hAnsi="Times New Roman" w:cs="Times New Roman"/>
          <w:sz w:val="28"/>
          <w:szCs w:val="28"/>
        </w:rPr>
      </w:pPr>
      <w:r w:rsidRPr="006862EB">
        <w:rPr>
          <w:rFonts w:ascii="Times New Roman" w:hAnsi="Times New Roman" w:cs="Times New Roman"/>
          <w:b/>
          <w:bCs/>
          <w:sz w:val="28"/>
          <w:szCs w:val="28"/>
        </w:rPr>
        <w:t>CVaR as the Tail-Risk Indicator</w:t>
      </w:r>
      <w:r w:rsidRPr="006862EB">
        <w:rPr>
          <w:rFonts w:ascii="Times New Roman" w:hAnsi="Times New Roman" w:cs="Times New Roman"/>
          <w:sz w:val="28"/>
          <w:szCs w:val="28"/>
        </w:rPr>
        <w:t xml:space="preserve">: CVaR (or Expected Shortfall) steps in to measure the average loss that occurs </w:t>
      </w:r>
      <w:r w:rsidRPr="006862EB">
        <w:rPr>
          <w:rFonts w:ascii="Times New Roman" w:hAnsi="Times New Roman" w:cs="Times New Roman"/>
          <w:i/>
          <w:iCs/>
          <w:sz w:val="28"/>
          <w:szCs w:val="28"/>
        </w:rPr>
        <w:t>in the worst 5% of cases</w:t>
      </w:r>
      <w:r w:rsidRPr="006862EB">
        <w:rPr>
          <w:rFonts w:ascii="Times New Roman" w:hAnsi="Times New Roman" w:cs="Times New Roman"/>
          <w:sz w:val="28"/>
          <w:szCs w:val="28"/>
        </w:rPr>
        <w:t>. [</w:t>
      </w:r>
      <w:hyperlink r:id="rId27" w:history="1">
        <w:r w:rsidRPr="006862EB">
          <w:rPr>
            <w:rStyle w:val="Hyperlink"/>
            <w:rFonts w:ascii="Times New Roman" w:hAnsi="Times New Roman" w:cs="Times New Roman"/>
            <w:sz w:val="28"/>
            <w:szCs w:val="28"/>
          </w:rPr>
          <w:t>1</w:t>
        </w:r>
      </w:hyperlink>
      <w:r w:rsidRPr="006862EB">
        <w:rPr>
          <w:rFonts w:ascii="Times New Roman" w:hAnsi="Times New Roman" w:cs="Times New Roman"/>
          <w:sz w:val="28"/>
          <w:szCs w:val="28"/>
        </w:rPr>
        <w:t xml:space="preserve">, </w:t>
      </w:r>
      <w:hyperlink r:id="rId28" w:history="1">
        <w:r w:rsidRPr="006862EB">
          <w:rPr>
            <w:rStyle w:val="Hyperlink"/>
            <w:rFonts w:ascii="Times New Roman" w:hAnsi="Times New Roman" w:cs="Times New Roman"/>
            <w:sz w:val="28"/>
            <w:szCs w:val="28"/>
          </w:rPr>
          <w:t>2</w:t>
        </w:r>
      </w:hyperlink>
      <w:r w:rsidRPr="006862EB">
        <w:rPr>
          <w:rFonts w:ascii="Times New Roman" w:hAnsi="Times New Roman" w:cs="Times New Roman"/>
          <w:sz w:val="28"/>
          <w:szCs w:val="28"/>
        </w:rPr>
        <w:t xml:space="preserve">, </w:t>
      </w:r>
      <w:hyperlink r:id="rId29" w:history="1">
        <w:r w:rsidRPr="006862EB">
          <w:rPr>
            <w:rStyle w:val="Hyperlink"/>
            <w:rFonts w:ascii="Times New Roman" w:hAnsi="Times New Roman" w:cs="Times New Roman"/>
            <w:sz w:val="28"/>
            <w:szCs w:val="28"/>
          </w:rPr>
          <w:t>3</w:t>
        </w:r>
      </w:hyperlink>
      <w:r w:rsidRPr="006862EB">
        <w:rPr>
          <w:rFonts w:ascii="Times New Roman" w:hAnsi="Times New Roman" w:cs="Times New Roman"/>
          <w:sz w:val="28"/>
          <w:szCs w:val="28"/>
        </w:rPr>
        <w:t>]</w:t>
      </w:r>
    </w:p>
    <w:p w14:paraId="32882208" w14:textId="77777777" w:rsidR="007A370E" w:rsidRPr="006862EB" w:rsidRDefault="007A370E" w:rsidP="007A370E">
      <w:pPr>
        <w:numPr>
          <w:ilvl w:val="0"/>
          <w:numId w:val="3"/>
        </w:numPr>
        <w:rPr>
          <w:rFonts w:ascii="Times New Roman" w:hAnsi="Times New Roman" w:cs="Times New Roman"/>
          <w:sz w:val="28"/>
          <w:szCs w:val="28"/>
        </w:rPr>
      </w:pPr>
      <w:r w:rsidRPr="006862EB">
        <w:rPr>
          <w:rFonts w:ascii="Times New Roman" w:hAnsi="Times New Roman" w:cs="Times New Roman"/>
          <w:b/>
          <w:bCs/>
          <w:sz w:val="28"/>
          <w:szCs w:val="28"/>
        </w:rPr>
        <w:t>Highest-Risk Funds Isolated</w:t>
      </w:r>
      <w:r w:rsidRPr="006862EB">
        <w:rPr>
          <w:rFonts w:ascii="Times New Roman" w:hAnsi="Times New Roman" w:cs="Times New Roman"/>
          <w:sz w:val="28"/>
          <w:szCs w:val="28"/>
        </w:rPr>
        <w:t>: By running these metrics across a mutual fund universe, you can successfully isolate funds with "fat-tail risk." These are funds that appear stable during normal market conditions but suffer catastrophic losses during extreme black swan events. [</w:t>
      </w:r>
      <w:hyperlink r:id="rId30" w:history="1">
        <w:r w:rsidRPr="006862EB">
          <w:rPr>
            <w:rStyle w:val="Hyperlink"/>
            <w:rFonts w:ascii="Times New Roman" w:hAnsi="Times New Roman" w:cs="Times New Roman"/>
            <w:sz w:val="28"/>
            <w:szCs w:val="28"/>
          </w:rPr>
          <w:t>1</w:t>
        </w:r>
      </w:hyperlink>
      <w:r w:rsidRPr="006862EB">
        <w:rPr>
          <w:rFonts w:ascii="Times New Roman" w:hAnsi="Times New Roman" w:cs="Times New Roman"/>
          <w:sz w:val="28"/>
          <w:szCs w:val="28"/>
        </w:rPr>
        <w:t xml:space="preserve">, </w:t>
      </w:r>
      <w:hyperlink r:id="rId31" w:history="1">
        <w:r w:rsidRPr="006862EB">
          <w:rPr>
            <w:rStyle w:val="Hyperlink"/>
            <w:rFonts w:ascii="Times New Roman" w:hAnsi="Times New Roman" w:cs="Times New Roman"/>
            <w:sz w:val="28"/>
            <w:szCs w:val="28"/>
          </w:rPr>
          <w:t>2</w:t>
        </w:r>
      </w:hyperlink>
      <w:r w:rsidRPr="006862EB">
        <w:rPr>
          <w:rFonts w:ascii="Times New Roman" w:hAnsi="Times New Roman" w:cs="Times New Roman"/>
          <w:sz w:val="28"/>
          <w:szCs w:val="28"/>
        </w:rPr>
        <w:t>]</w:t>
      </w:r>
    </w:p>
    <w:p w14:paraId="2B8E6519" w14:textId="77777777" w:rsidR="007A370E" w:rsidRPr="006862EB" w:rsidRDefault="007A370E" w:rsidP="007A370E">
      <w:pPr>
        <w:rPr>
          <w:rFonts w:ascii="Times New Roman" w:hAnsi="Times New Roman" w:cs="Times New Roman"/>
          <w:b/>
          <w:bCs/>
          <w:sz w:val="28"/>
          <w:szCs w:val="28"/>
        </w:rPr>
      </w:pPr>
      <w:r w:rsidRPr="006862EB">
        <w:rPr>
          <w:rFonts w:ascii="Times New Roman" w:hAnsi="Times New Roman" w:cs="Times New Roman"/>
          <w:b/>
          <w:bCs/>
          <w:sz w:val="28"/>
          <w:szCs w:val="28"/>
        </w:rPr>
        <w:t>2. Performance Shifts via Rolling Sharpe Ratio</w:t>
      </w:r>
    </w:p>
    <w:p w14:paraId="10C941E8" w14:textId="77777777" w:rsidR="007A370E" w:rsidRPr="006862EB" w:rsidRDefault="007A370E" w:rsidP="007A370E">
      <w:pPr>
        <w:ind w:left="360"/>
        <w:rPr>
          <w:rFonts w:ascii="Times New Roman" w:hAnsi="Times New Roman" w:cs="Times New Roman"/>
          <w:sz w:val="28"/>
          <w:szCs w:val="28"/>
        </w:rPr>
      </w:pPr>
      <w:r w:rsidRPr="006862EB">
        <w:rPr>
          <w:rFonts w:ascii="Times New Roman" w:hAnsi="Times New Roman" w:cs="Times New Roman"/>
          <w:sz w:val="28"/>
          <w:szCs w:val="28"/>
        </w:rPr>
        <w:t>Static Sharpe Ratios only provide a single average snapshot over a fixed time block, hiding structural changes in a fund manager's skill or strategy shifts.</w:t>
      </w:r>
    </w:p>
    <w:p w14:paraId="13F2223F" w14:textId="77777777" w:rsidR="007A370E" w:rsidRPr="006862EB" w:rsidRDefault="007A370E" w:rsidP="007A370E">
      <w:pPr>
        <w:numPr>
          <w:ilvl w:val="0"/>
          <w:numId w:val="4"/>
        </w:numPr>
        <w:rPr>
          <w:rFonts w:ascii="Times New Roman" w:hAnsi="Times New Roman" w:cs="Times New Roman"/>
          <w:sz w:val="28"/>
          <w:szCs w:val="28"/>
        </w:rPr>
      </w:pPr>
      <w:r w:rsidRPr="006862EB">
        <w:rPr>
          <w:rFonts w:ascii="Times New Roman" w:hAnsi="Times New Roman" w:cs="Times New Roman"/>
          <w:b/>
          <w:bCs/>
          <w:sz w:val="28"/>
          <w:szCs w:val="28"/>
        </w:rPr>
        <w:t>Capturing Market Dynamics</w:t>
      </w:r>
      <w:r w:rsidRPr="006862EB">
        <w:rPr>
          <w:rFonts w:ascii="Times New Roman" w:hAnsi="Times New Roman" w:cs="Times New Roman"/>
          <w:sz w:val="28"/>
          <w:szCs w:val="28"/>
        </w:rPr>
        <w:t xml:space="preserve">: A </w:t>
      </w:r>
      <w:r w:rsidRPr="006862EB">
        <w:rPr>
          <w:rFonts w:ascii="Times New Roman" w:hAnsi="Times New Roman" w:cs="Times New Roman"/>
          <w:b/>
          <w:bCs/>
          <w:sz w:val="28"/>
          <w:szCs w:val="28"/>
        </w:rPr>
        <w:t>Rolling Sharpe Ratio</w:t>
      </w:r>
      <w:r w:rsidRPr="006862EB">
        <w:rPr>
          <w:rFonts w:ascii="Times New Roman" w:hAnsi="Times New Roman" w:cs="Times New Roman"/>
          <w:sz w:val="28"/>
          <w:szCs w:val="28"/>
        </w:rPr>
        <w:t xml:space="preserve"> calculates risk-adjusted returns over moving, consecutive time windows (e.g., 36-month periods rolled forward monthly). [</w:t>
      </w:r>
      <w:hyperlink r:id="rId32" w:history="1">
        <w:r w:rsidRPr="006862EB">
          <w:rPr>
            <w:rStyle w:val="Hyperlink"/>
            <w:rFonts w:ascii="Times New Roman" w:hAnsi="Times New Roman" w:cs="Times New Roman"/>
            <w:sz w:val="28"/>
            <w:szCs w:val="28"/>
          </w:rPr>
          <w:t>1</w:t>
        </w:r>
      </w:hyperlink>
      <w:r w:rsidRPr="006862EB">
        <w:rPr>
          <w:rFonts w:ascii="Times New Roman" w:hAnsi="Times New Roman" w:cs="Times New Roman"/>
          <w:sz w:val="28"/>
          <w:szCs w:val="28"/>
        </w:rPr>
        <w:t xml:space="preserve">, </w:t>
      </w:r>
      <w:hyperlink r:id="rId33" w:history="1">
        <w:r w:rsidRPr="006862EB">
          <w:rPr>
            <w:rStyle w:val="Hyperlink"/>
            <w:rFonts w:ascii="Times New Roman" w:hAnsi="Times New Roman" w:cs="Times New Roman"/>
            <w:sz w:val="28"/>
            <w:szCs w:val="28"/>
          </w:rPr>
          <w:t>2</w:t>
        </w:r>
      </w:hyperlink>
      <w:r w:rsidRPr="006862EB">
        <w:rPr>
          <w:rFonts w:ascii="Times New Roman" w:hAnsi="Times New Roman" w:cs="Times New Roman"/>
          <w:sz w:val="28"/>
          <w:szCs w:val="28"/>
        </w:rPr>
        <w:t>]</w:t>
      </w:r>
    </w:p>
    <w:p w14:paraId="4B1890DF" w14:textId="77777777" w:rsidR="007A370E" w:rsidRPr="006862EB" w:rsidRDefault="007A370E" w:rsidP="007A370E">
      <w:pPr>
        <w:numPr>
          <w:ilvl w:val="0"/>
          <w:numId w:val="4"/>
        </w:numPr>
        <w:rPr>
          <w:rFonts w:ascii="Times New Roman" w:hAnsi="Times New Roman" w:cs="Times New Roman"/>
          <w:sz w:val="28"/>
          <w:szCs w:val="28"/>
        </w:rPr>
      </w:pPr>
      <w:r w:rsidRPr="006862EB">
        <w:rPr>
          <w:rFonts w:ascii="Times New Roman" w:hAnsi="Times New Roman" w:cs="Times New Roman"/>
          <w:b/>
          <w:bCs/>
          <w:sz w:val="28"/>
          <w:szCs w:val="28"/>
        </w:rPr>
        <w:t>Spotting Style Drift and Decay</w:t>
      </w:r>
      <w:r w:rsidRPr="006862EB">
        <w:rPr>
          <w:rFonts w:ascii="Times New Roman" w:hAnsi="Times New Roman" w:cs="Times New Roman"/>
          <w:sz w:val="28"/>
          <w:szCs w:val="28"/>
        </w:rPr>
        <w:t>: This longitudinal analysis highlights exactly when a fund manager stops generating premium returns per unit of volatility. A declining rolling trend reveals whether a fund's outperformance was a temporary byproduct of a specific bull market or a result of sustainable asset management.</w:t>
      </w:r>
    </w:p>
    <w:p w14:paraId="087A8784" w14:textId="77777777" w:rsidR="007A370E" w:rsidRPr="006862EB" w:rsidRDefault="007A370E" w:rsidP="007A370E">
      <w:pPr>
        <w:numPr>
          <w:ilvl w:val="0"/>
          <w:numId w:val="4"/>
        </w:numPr>
        <w:rPr>
          <w:rFonts w:ascii="Times New Roman" w:hAnsi="Times New Roman" w:cs="Times New Roman"/>
          <w:sz w:val="28"/>
          <w:szCs w:val="28"/>
        </w:rPr>
      </w:pPr>
      <w:r w:rsidRPr="006862EB">
        <w:rPr>
          <w:rFonts w:ascii="Times New Roman" w:hAnsi="Times New Roman" w:cs="Times New Roman"/>
          <w:b/>
          <w:bCs/>
          <w:sz w:val="28"/>
          <w:szCs w:val="28"/>
        </w:rPr>
        <w:t>Volatility Normalisation</w:t>
      </w:r>
      <w:r w:rsidRPr="006862EB">
        <w:rPr>
          <w:rFonts w:ascii="Times New Roman" w:hAnsi="Times New Roman" w:cs="Times New Roman"/>
          <w:sz w:val="28"/>
          <w:szCs w:val="28"/>
        </w:rPr>
        <w:t>: It helps analysts judge if a fund's recent return spikes are simply a result of taking on disproportionate amounts of risk. [</w:t>
      </w:r>
      <w:hyperlink r:id="rId34" w:history="1">
        <w:r w:rsidRPr="006862EB">
          <w:rPr>
            <w:rStyle w:val="Hyperlink"/>
            <w:rFonts w:ascii="Times New Roman" w:hAnsi="Times New Roman" w:cs="Times New Roman"/>
            <w:sz w:val="28"/>
            <w:szCs w:val="28"/>
          </w:rPr>
          <w:t>1</w:t>
        </w:r>
      </w:hyperlink>
      <w:r w:rsidRPr="006862EB">
        <w:rPr>
          <w:rFonts w:ascii="Times New Roman" w:hAnsi="Times New Roman" w:cs="Times New Roman"/>
          <w:sz w:val="28"/>
          <w:szCs w:val="28"/>
        </w:rPr>
        <w:t>]</w:t>
      </w:r>
    </w:p>
    <w:p w14:paraId="5FAD97E3" w14:textId="77777777" w:rsidR="007A370E" w:rsidRPr="006862EB" w:rsidRDefault="007A370E" w:rsidP="007A370E">
      <w:pPr>
        <w:rPr>
          <w:rFonts w:ascii="Times New Roman" w:hAnsi="Times New Roman" w:cs="Times New Roman"/>
          <w:b/>
          <w:bCs/>
          <w:sz w:val="28"/>
          <w:szCs w:val="28"/>
        </w:rPr>
      </w:pPr>
      <w:r w:rsidRPr="006862EB">
        <w:rPr>
          <w:rFonts w:ascii="Times New Roman" w:hAnsi="Times New Roman" w:cs="Times New Roman"/>
          <w:b/>
          <w:bCs/>
          <w:sz w:val="28"/>
          <w:szCs w:val="28"/>
        </w:rPr>
        <w:t xml:space="preserve">3. Investor </w:t>
      </w:r>
      <w:proofErr w:type="spellStart"/>
      <w:r w:rsidRPr="006862EB">
        <w:rPr>
          <w:rFonts w:ascii="Times New Roman" w:hAnsi="Times New Roman" w:cs="Times New Roman"/>
          <w:b/>
          <w:bCs/>
          <w:sz w:val="28"/>
          <w:szCs w:val="28"/>
        </w:rPr>
        <w:t>Behavior</w:t>
      </w:r>
      <w:proofErr w:type="spellEnd"/>
      <w:r w:rsidRPr="006862EB">
        <w:rPr>
          <w:rFonts w:ascii="Times New Roman" w:hAnsi="Times New Roman" w:cs="Times New Roman"/>
          <w:b/>
          <w:bCs/>
          <w:sz w:val="28"/>
          <w:szCs w:val="28"/>
        </w:rPr>
        <w:t xml:space="preserve"> via SIP Continuity Analysis</w:t>
      </w:r>
    </w:p>
    <w:p w14:paraId="21A8BD81" w14:textId="77777777" w:rsidR="007A370E" w:rsidRPr="006862EB" w:rsidRDefault="007A370E" w:rsidP="007A370E">
      <w:pPr>
        <w:ind w:left="360"/>
        <w:rPr>
          <w:rFonts w:ascii="Times New Roman" w:hAnsi="Times New Roman" w:cs="Times New Roman"/>
          <w:sz w:val="28"/>
          <w:szCs w:val="28"/>
        </w:rPr>
      </w:pPr>
      <w:r w:rsidRPr="006862EB">
        <w:rPr>
          <w:rFonts w:ascii="Times New Roman" w:hAnsi="Times New Roman" w:cs="Times New Roman"/>
          <w:b/>
          <w:bCs/>
          <w:sz w:val="28"/>
          <w:szCs w:val="28"/>
        </w:rPr>
        <w:t>Systematic Investment Plan (SIP)</w:t>
      </w:r>
      <w:r w:rsidRPr="006862EB">
        <w:rPr>
          <w:rFonts w:ascii="Times New Roman" w:hAnsi="Times New Roman" w:cs="Times New Roman"/>
          <w:sz w:val="28"/>
          <w:szCs w:val="28"/>
        </w:rPr>
        <w:t xml:space="preserve"> continuity acts as a proxy metric for measuring retail investor sentiment, financial literacy, and structural friction in the investment pipeline.</w:t>
      </w:r>
    </w:p>
    <w:p w14:paraId="617AAFC4" w14:textId="77777777" w:rsidR="007A370E" w:rsidRPr="006862EB" w:rsidRDefault="007A370E" w:rsidP="007A370E">
      <w:pPr>
        <w:numPr>
          <w:ilvl w:val="0"/>
          <w:numId w:val="5"/>
        </w:numPr>
        <w:rPr>
          <w:rFonts w:ascii="Times New Roman" w:hAnsi="Times New Roman" w:cs="Times New Roman"/>
          <w:sz w:val="28"/>
          <w:szCs w:val="28"/>
        </w:rPr>
      </w:pPr>
      <w:r w:rsidRPr="006862EB">
        <w:rPr>
          <w:rFonts w:ascii="Times New Roman" w:hAnsi="Times New Roman" w:cs="Times New Roman"/>
          <w:b/>
          <w:bCs/>
          <w:sz w:val="28"/>
          <w:szCs w:val="28"/>
        </w:rPr>
        <w:t>Irregular Contributions Flagged</w:t>
      </w:r>
      <w:r w:rsidRPr="006862EB">
        <w:rPr>
          <w:rFonts w:ascii="Times New Roman" w:hAnsi="Times New Roman" w:cs="Times New Roman"/>
          <w:sz w:val="28"/>
          <w:szCs w:val="28"/>
        </w:rPr>
        <w:t>: This analysis tracks missed, paused, or cancelled mandates to pinpoint exactly when and why cash flows break down.</w:t>
      </w:r>
    </w:p>
    <w:p w14:paraId="3AB5CAFE" w14:textId="77777777" w:rsidR="007A370E" w:rsidRPr="006862EB" w:rsidRDefault="007A370E" w:rsidP="007A370E">
      <w:pPr>
        <w:numPr>
          <w:ilvl w:val="0"/>
          <w:numId w:val="5"/>
        </w:numPr>
        <w:rPr>
          <w:rFonts w:ascii="Times New Roman" w:hAnsi="Times New Roman" w:cs="Times New Roman"/>
          <w:sz w:val="28"/>
          <w:szCs w:val="28"/>
        </w:rPr>
      </w:pPr>
      <w:r w:rsidRPr="006862EB">
        <w:rPr>
          <w:rFonts w:ascii="Times New Roman" w:hAnsi="Times New Roman" w:cs="Times New Roman"/>
          <w:b/>
          <w:bCs/>
          <w:sz w:val="28"/>
          <w:szCs w:val="28"/>
        </w:rPr>
        <w:t>Sentiment vs. Mechanics</w:t>
      </w:r>
      <w:r w:rsidRPr="006862EB">
        <w:rPr>
          <w:rFonts w:ascii="Times New Roman" w:hAnsi="Times New Roman" w:cs="Times New Roman"/>
          <w:sz w:val="28"/>
          <w:szCs w:val="28"/>
        </w:rPr>
        <w:t>: Irregularities usually stem from two distinct sources:</w:t>
      </w:r>
    </w:p>
    <w:p w14:paraId="6B39557A" w14:textId="77777777" w:rsidR="007A370E" w:rsidRPr="006862EB" w:rsidRDefault="007A370E" w:rsidP="007A370E">
      <w:pPr>
        <w:numPr>
          <w:ilvl w:val="1"/>
          <w:numId w:val="5"/>
        </w:numPr>
        <w:rPr>
          <w:rFonts w:ascii="Times New Roman" w:hAnsi="Times New Roman" w:cs="Times New Roman"/>
          <w:sz w:val="28"/>
          <w:szCs w:val="28"/>
        </w:rPr>
      </w:pPr>
      <w:r w:rsidRPr="006862EB">
        <w:rPr>
          <w:rFonts w:ascii="Times New Roman" w:hAnsi="Times New Roman" w:cs="Times New Roman"/>
          <w:i/>
          <w:iCs/>
          <w:sz w:val="28"/>
          <w:szCs w:val="28"/>
        </w:rPr>
        <w:lastRenderedPageBreak/>
        <w:t>Psychological Capitulation</w:t>
      </w:r>
      <w:r w:rsidRPr="006862EB">
        <w:rPr>
          <w:rFonts w:ascii="Times New Roman" w:hAnsi="Times New Roman" w:cs="Times New Roman"/>
          <w:sz w:val="28"/>
          <w:szCs w:val="28"/>
        </w:rPr>
        <w:t>: Investors manually stopping SIPs out of fear during market corrections.</w:t>
      </w:r>
    </w:p>
    <w:p w14:paraId="1191160B" w14:textId="77777777" w:rsidR="007A370E" w:rsidRPr="006862EB" w:rsidRDefault="007A370E" w:rsidP="007A370E">
      <w:pPr>
        <w:numPr>
          <w:ilvl w:val="1"/>
          <w:numId w:val="5"/>
        </w:numPr>
        <w:rPr>
          <w:rFonts w:ascii="Times New Roman" w:hAnsi="Times New Roman" w:cs="Times New Roman"/>
          <w:sz w:val="28"/>
          <w:szCs w:val="28"/>
        </w:rPr>
      </w:pPr>
      <w:r w:rsidRPr="006862EB">
        <w:rPr>
          <w:rFonts w:ascii="Times New Roman" w:hAnsi="Times New Roman" w:cs="Times New Roman"/>
          <w:i/>
          <w:iCs/>
          <w:sz w:val="28"/>
          <w:szCs w:val="28"/>
        </w:rPr>
        <w:t>Operational Attrition</w:t>
      </w:r>
      <w:r w:rsidRPr="006862EB">
        <w:rPr>
          <w:rFonts w:ascii="Times New Roman" w:hAnsi="Times New Roman" w:cs="Times New Roman"/>
          <w:sz w:val="28"/>
          <w:szCs w:val="28"/>
        </w:rPr>
        <w:t>: Account bounces due to insufficient funds, or friction during bank mandate migrations. [</w:t>
      </w:r>
      <w:hyperlink r:id="rId35" w:history="1">
        <w:r w:rsidRPr="006862EB">
          <w:rPr>
            <w:rStyle w:val="Hyperlink"/>
            <w:rFonts w:ascii="Times New Roman" w:hAnsi="Times New Roman" w:cs="Times New Roman"/>
            <w:sz w:val="28"/>
            <w:szCs w:val="28"/>
          </w:rPr>
          <w:t>1</w:t>
        </w:r>
      </w:hyperlink>
      <w:r w:rsidRPr="006862EB">
        <w:rPr>
          <w:rFonts w:ascii="Times New Roman" w:hAnsi="Times New Roman" w:cs="Times New Roman"/>
          <w:sz w:val="28"/>
          <w:szCs w:val="28"/>
        </w:rPr>
        <w:t xml:space="preserve">, </w:t>
      </w:r>
      <w:hyperlink r:id="rId36" w:history="1">
        <w:r w:rsidRPr="006862EB">
          <w:rPr>
            <w:rStyle w:val="Hyperlink"/>
            <w:rFonts w:ascii="Times New Roman" w:hAnsi="Times New Roman" w:cs="Times New Roman"/>
            <w:sz w:val="28"/>
            <w:szCs w:val="28"/>
          </w:rPr>
          <w:t>2</w:t>
        </w:r>
      </w:hyperlink>
      <w:r w:rsidRPr="006862EB">
        <w:rPr>
          <w:rFonts w:ascii="Times New Roman" w:hAnsi="Times New Roman" w:cs="Times New Roman"/>
          <w:sz w:val="28"/>
          <w:szCs w:val="28"/>
        </w:rPr>
        <w:t>]</w:t>
      </w:r>
    </w:p>
    <w:p w14:paraId="06076D0E" w14:textId="77777777" w:rsidR="007A370E" w:rsidRPr="006862EB" w:rsidRDefault="007A370E" w:rsidP="007A370E">
      <w:pPr>
        <w:numPr>
          <w:ilvl w:val="0"/>
          <w:numId w:val="5"/>
        </w:numPr>
        <w:rPr>
          <w:rFonts w:ascii="Times New Roman" w:hAnsi="Times New Roman" w:cs="Times New Roman"/>
          <w:sz w:val="28"/>
          <w:szCs w:val="28"/>
        </w:rPr>
      </w:pPr>
      <w:r w:rsidRPr="006862EB">
        <w:rPr>
          <w:rFonts w:ascii="Times New Roman" w:hAnsi="Times New Roman" w:cs="Times New Roman"/>
          <w:b/>
          <w:bCs/>
          <w:sz w:val="28"/>
          <w:szCs w:val="28"/>
        </w:rPr>
        <w:t>AUM Impact</w:t>
      </w:r>
      <w:r w:rsidRPr="006862EB">
        <w:rPr>
          <w:rFonts w:ascii="Times New Roman" w:hAnsi="Times New Roman" w:cs="Times New Roman"/>
          <w:sz w:val="28"/>
          <w:szCs w:val="28"/>
        </w:rPr>
        <w:t>: For fund houses, identifying these irregular segments allows for targeted marketing interventions to reduce churn and stabilize predictable Asset Under Management (AUM) inflows.</w:t>
      </w:r>
    </w:p>
    <w:p w14:paraId="65EF6962" w14:textId="77777777" w:rsidR="007A370E" w:rsidRPr="006862EB" w:rsidRDefault="007A370E" w:rsidP="007A370E">
      <w:pPr>
        <w:rPr>
          <w:rFonts w:ascii="Times New Roman" w:hAnsi="Times New Roman" w:cs="Times New Roman"/>
          <w:b/>
          <w:bCs/>
          <w:sz w:val="28"/>
          <w:szCs w:val="28"/>
        </w:rPr>
      </w:pPr>
      <w:r w:rsidRPr="006862EB">
        <w:rPr>
          <w:rFonts w:ascii="Times New Roman" w:hAnsi="Times New Roman" w:cs="Times New Roman"/>
          <w:b/>
          <w:bCs/>
          <w:sz w:val="28"/>
          <w:szCs w:val="28"/>
        </w:rPr>
        <w:t>4. Demographic Insights via Cohort Analysis</w:t>
      </w:r>
    </w:p>
    <w:p w14:paraId="2CAAB064" w14:textId="77777777" w:rsidR="007A370E" w:rsidRPr="006862EB" w:rsidRDefault="007A370E" w:rsidP="007A370E">
      <w:pPr>
        <w:ind w:left="360"/>
        <w:rPr>
          <w:rFonts w:ascii="Times New Roman" w:hAnsi="Times New Roman" w:cs="Times New Roman"/>
          <w:sz w:val="28"/>
          <w:szCs w:val="28"/>
        </w:rPr>
      </w:pPr>
      <w:r w:rsidRPr="006862EB">
        <w:rPr>
          <w:rFonts w:ascii="Times New Roman" w:hAnsi="Times New Roman" w:cs="Times New Roman"/>
          <w:b/>
          <w:bCs/>
          <w:sz w:val="28"/>
          <w:szCs w:val="28"/>
        </w:rPr>
        <w:t>Cohort Analysis</w:t>
      </w:r>
      <w:r w:rsidRPr="006862EB">
        <w:rPr>
          <w:rFonts w:ascii="Times New Roman" w:hAnsi="Times New Roman" w:cs="Times New Roman"/>
          <w:sz w:val="28"/>
          <w:szCs w:val="28"/>
        </w:rPr>
        <w:t xml:space="preserve"> groups investors based on a shared </w:t>
      </w:r>
      <w:proofErr w:type="spellStart"/>
      <w:r w:rsidRPr="006862EB">
        <w:rPr>
          <w:rFonts w:ascii="Times New Roman" w:hAnsi="Times New Roman" w:cs="Times New Roman"/>
          <w:sz w:val="28"/>
          <w:szCs w:val="28"/>
        </w:rPr>
        <w:t>behavioral</w:t>
      </w:r>
      <w:proofErr w:type="spellEnd"/>
      <w:r w:rsidRPr="006862EB">
        <w:rPr>
          <w:rFonts w:ascii="Times New Roman" w:hAnsi="Times New Roman" w:cs="Times New Roman"/>
          <w:sz w:val="28"/>
          <w:szCs w:val="28"/>
        </w:rPr>
        <w:t xml:space="preserve"> starting point—such as the specific month/year of their first investment—and tracks their habits over time.</w:t>
      </w:r>
    </w:p>
    <w:p w14:paraId="2B3DB35D" w14:textId="77777777" w:rsidR="007A370E" w:rsidRPr="006862EB" w:rsidRDefault="007A370E" w:rsidP="007A370E">
      <w:pPr>
        <w:numPr>
          <w:ilvl w:val="0"/>
          <w:numId w:val="6"/>
        </w:numPr>
        <w:rPr>
          <w:rFonts w:ascii="Times New Roman" w:hAnsi="Times New Roman" w:cs="Times New Roman"/>
          <w:sz w:val="28"/>
          <w:szCs w:val="28"/>
        </w:rPr>
      </w:pPr>
      <w:r w:rsidRPr="006862EB">
        <w:rPr>
          <w:rFonts w:ascii="Times New Roman" w:hAnsi="Times New Roman" w:cs="Times New Roman"/>
          <w:b/>
          <w:bCs/>
          <w:sz w:val="28"/>
          <w:szCs w:val="28"/>
        </w:rPr>
        <w:t>Macro Environment Impact</w:t>
      </w:r>
      <w:r w:rsidRPr="006862EB">
        <w:rPr>
          <w:rFonts w:ascii="Times New Roman" w:hAnsi="Times New Roman" w:cs="Times New Roman"/>
          <w:sz w:val="28"/>
          <w:szCs w:val="28"/>
        </w:rPr>
        <w:t>: Investors who onboarded during a severe market crash (e.g., 2020 or 2022) often display completely different risk tolerances and holding periods compared to cohorts who joined at a market peak.</w:t>
      </w:r>
    </w:p>
    <w:p w14:paraId="7916B1C0" w14:textId="77777777" w:rsidR="007A370E" w:rsidRPr="006862EB" w:rsidRDefault="007A370E" w:rsidP="007A370E">
      <w:pPr>
        <w:numPr>
          <w:ilvl w:val="0"/>
          <w:numId w:val="6"/>
        </w:numPr>
        <w:rPr>
          <w:rFonts w:ascii="Times New Roman" w:hAnsi="Times New Roman" w:cs="Times New Roman"/>
          <w:sz w:val="28"/>
          <w:szCs w:val="28"/>
        </w:rPr>
      </w:pPr>
      <w:r w:rsidRPr="006862EB">
        <w:rPr>
          <w:rFonts w:ascii="Times New Roman" w:hAnsi="Times New Roman" w:cs="Times New Roman"/>
          <w:b/>
          <w:bCs/>
          <w:sz w:val="28"/>
          <w:szCs w:val="28"/>
        </w:rPr>
        <w:t>Trend Isolation</w:t>
      </w:r>
      <w:r w:rsidRPr="006862EB">
        <w:rPr>
          <w:rFonts w:ascii="Times New Roman" w:hAnsi="Times New Roman" w:cs="Times New Roman"/>
          <w:sz w:val="28"/>
          <w:szCs w:val="28"/>
        </w:rPr>
        <w:t xml:space="preserve">: By separating investors into groups, you can see if changing investment volumes are driven by long-term loyalty from older clients or short-term speculative </w:t>
      </w:r>
      <w:proofErr w:type="spellStart"/>
      <w:r w:rsidRPr="006862EB">
        <w:rPr>
          <w:rFonts w:ascii="Times New Roman" w:hAnsi="Times New Roman" w:cs="Times New Roman"/>
          <w:sz w:val="28"/>
          <w:szCs w:val="28"/>
        </w:rPr>
        <w:t>behavior</w:t>
      </w:r>
      <w:proofErr w:type="spellEnd"/>
      <w:r w:rsidRPr="006862EB">
        <w:rPr>
          <w:rFonts w:ascii="Times New Roman" w:hAnsi="Times New Roman" w:cs="Times New Roman"/>
          <w:sz w:val="28"/>
          <w:szCs w:val="28"/>
        </w:rPr>
        <w:t xml:space="preserve"> from newer sign-ups.</w:t>
      </w:r>
    </w:p>
    <w:p w14:paraId="76AE1113" w14:textId="77777777" w:rsidR="007A370E" w:rsidRPr="006862EB" w:rsidRDefault="007A370E" w:rsidP="007A370E">
      <w:pPr>
        <w:numPr>
          <w:ilvl w:val="0"/>
          <w:numId w:val="6"/>
        </w:numPr>
        <w:rPr>
          <w:rFonts w:ascii="Times New Roman" w:hAnsi="Times New Roman" w:cs="Times New Roman"/>
          <w:sz w:val="28"/>
          <w:szCs w:val="28"/>
        </w:rPr>
      </w:pPr>
      <w:r w:rsidRPr="006862EB">
        <w:rPr>
          <w:rFonts w:ascii="Times New Roman" w:hAnsi="Times New Roman" w:cs="Times New Roman"/>
          <w:b/>
          <w:bCs/>
          <w:sz w:val="28"/>
          <w:szCs w:val="28"/>
        </w:rPr>
        <w:t>Product-Market Fit</w:t>
      </w:r>
      <w:r w:rsidRPr="006862EB">
        <w:rPr>
          <w:rFonts w:ascii="Times New Roman" w:hAnsi="Times New Roman" w:cs="Times New Roman"/>
          <w:sz w:val="28"/>
          <w:szCs w:val="28"/>
        </w:rPr>
        <w:t>: It exposes which investor demographics gravitate toward specific asset classes (e.g., younger cohorts leaning heavily toward thematic index funds, older cohorts sticking to balanced advantage funds).</w:t>
      </w:r>
    </w:p>
    <w:p w14:paraId="0ED20FB3" w14:textId="77777777" w:rsidR="007A370E" w:rsidRPr="006862EB" w:rsidRDefault="007A370E" w:rsidP="007A370E">
      <w:pPr>
        <w:rPr>
          <w:rFonts w:ascii="Times New Roman" w:hAnsi="Times New Roman" w:cs="Times New Roman"/>
          <w:b/>
          <w:bCs/>
          <w:sz w:val="28"/>
          <w:szCs w:val="28"/>
        </w:rPr>
      </w:pPr>
      <w:r w:rsidRPr="006862EB">
        <w:rPr>
          <w:rFonts w:ascii="Times New Roman" w:hAnsi="Times New Roman" w:cs="Times New Roman"/>
          <w:b/>
          <w:bCs/>
          <w:sz w:val="28"/>
          <w:szCs w:val="28"/>
        </w:rPr>
        <w:t>5. Alpha Generation via Lower Expense Ratios</w:t>
      </w:r>
    </w:p>
    <w:p w14:paraId="2BB0FB01" w14:textId="77777777" w:rsidR="007A370E" w:rsidRPr="006862EB" w:rsidRDefault="007A370E" w:rsidP="007A370E">
      <w:pPr>
        <w:ind w:left="360"/>
        <w:rPr>
          <w:rFonts w:ascii="Times New Roman" w:hAnsi="Times New Roman" w:cs="Times New Roman"/>
          <w:sz w:val="28"/>
          <w:szCs w:val="28"/>
        </w:rPr>
      </w:pPr>
      <w:r w:rsidRPr="006862EB">
        <w:rPr>
          <w:rFonts w:ascii="Times New Roman" w:hAnsi="Times New Roman" w:cs="Times New Roman"/>
          <w:sz w:val="28"/>
          <w:szCs w:val="28"/>
        </w:rPr>
        <w:t>The data confirms a compounding reality in asset management: a higher cost of management rarely guarantees superior performance over long time horizons.</w:t>
      </w:r>
    </w:p>
    <w:p w14:paraId="3F9A18F3" w14:textId="77777777" w:rsidR="007A370E" w:rsidRPr="006862EB" w:rsidRDefault="007A370E" w:rsidP="007A370E">
      <w:pPr>
        <w:numPr>
          <w:ilvl w:val="0"/>
          <w:numId w:val="7"/>
        </w:numPr>
        <w:rPr>
          <w:rFonts w:ascii="Times New Roman" w:hAnsi="Times New Roman" w:cs="Times New Roman"/>
          <w:sz w:val="28"/>
          <w:szCs w:val="28"/>
        </w:rPr>
      </w:pPr>
      <w:r w:rsidRPr="006862EB">
        <w:rPr>
          <w:rFonts w:ascii="Times New Roman" w:hAnsi="Times New Roman" w:cs="Times New Roman"/>
          <w:b/>
          <w:bCs/>
          <w:sz w:val="28"/>
          <w:szCs w:val="28"/>
        </w:rPr>
        <w:t>The Compounding Drag</w:t>
      </w:r>
      <w:r w:rsidRPr="006862EB">
        <w:rPr>
          <w:rFonts w:ascii="Times New Roman" w:hAnsi="Times New Roman" w:cs="Times New Roman"/>
          <w:sz w:val="28"/>
          <w:szCs w:val="28"/>
        </w:rPr>
        <w:t>: A 1% difference in expense ratios sounds minimal, but when compounded over 10 to 20 years, it eats away a massive percentage of total portfolio wealth.</w:t>
      </w:r>
    </w:p>
    <w:p w14:paraId="15BBF5FA" w14:textId="77777777" w:rsidR="007A370E" w:rsidRPr="006862EB" w:rsidRDefault="007A370E" w:rsidP="007A370E">
      <w:pPr>
        <w:numPr>
          <w:ilvl w:val="0"/>
          <w:numId w:val="7"/>
        </w:numPr>
        <w:rPr>
          <w:rFonts w:ascii="Times New Roman" w:hAnsi="Times New Roman" w:cs="Times New Roman"/>
          <w:sz w:val="28"/>
          <w:szCs w:val="28"/>
        </w:rPr>
      </w:pPr>
      <w:r w:rsidRPr="006862EB">
        <w:rPr>
          <w:rFonts w:ascii="Times New Roman" w:hAnsi="Times New Roman" w:cs="Times New Roman"/>
          <w:b/>
          <w:bCs/>
          <w:sz w:val="28"/>
          <w:szCs w:val="28"/>
        </w:rPr>
        <w:t>The Active Manager Hurdle</w:t>
      </w:r>
      <w:r w:rsidRPr="006862EB">
        <w:rPr>
          <w:rFonts w:ascii="Times New Roman" w:hAnsi="Times New Roman" w:cs="Times New Roman"/>
          <w:sz w:val="28"/>
          <w:szCs w:val="28"/>
        </w:rPr>
        <w:t>: Managers of high-expense active funds must consistently generate substantial alpha just to break even with the net returns of low-cost alternatives.</w:t>
      </w:r>
    </w:p>
    <w:p w14:paraId="66D8272C" w14:textId="77777777" w:rsidR="007A370E" w:rsidRPr="006862EB" w:rsidRDefault="007A370E" w:rsidP="007A370E">
      <w:pPr>
        <w:numPr>
          <w:ilvl w:val="0"/>
          <w:numId w:val="7"/>
        </w:numPr>
        <w:rPr>
          <w:rFonts w:ascii="Times New Roman" w:hAnsi="Times New Roman" w:cs="Times New Roman"/>
          <w:sz w:val="28"/>
          <w:szCs w:val="28"/>
        </w:rPr>
      </w:pPr>
      <w:r w:rsidRPr="006862EB">
        <w:rPr>
          <w:rFonts w:ascii="Times New Roman" w:hAnsi="Times New Roman" w:cs="Times New Roman"/>
          <w:b/>
          <w:bCs/>
          <w:sz w:val="28"/>
          <w:szCs w:val="28"/>
        </w:rPr>
        <w:t>Long-Term Outperformance</w:t>
      </w:r>
      <w:r w:rsidRPr="006862EB">
        <w:rPr>
          <w:rFonts w:ascii="Times New Roman" w:hAnsi="Times New Roman" w:cs="Times New Roman"/>
          <w:sz w:val="28"/>
          <w:szCs w:val="28"/>
        </w:rPr>
        <w:t>: Over extended horizons, funds with lower expense ratios (such as direct plans or institutional share classes) consistently display higher net asset value (NAV) growth, simply because less investor capital is diverted to pay for marketing, distribution fees, and high administrative overhead</w:t>
      </w:r>
    </w:p>
    <w:p w14:paraId="497E9803" w14:textId="77777777" w:rsidR="00710C56" w:rsidRPr="006862EB" w:rsidRDefault="00000000">
      <w:pPr>
        <w:rPr>
          <w:rFonts w:ascii="Times New Roman" w:hAnsi="Times New Roman" w:cs="Times New Roman"/>
          <w:sz w:val="28"/>
          <w:szCs w:val="28"/>
        </w:rPr>
      </w:pPr>
      <w:r w:rsidRPr="006862EB">
        <w:rPr>
          <w:rFonts w:ascii="Times New Roman" w:hAnsi="Times New Roman" w:cs="Times New Roman"/>
          <w:sz w:val="28"/>
          <w:szCs w:val="28"/>
        </w:rPr>
        <w:br w:type="page"/>
      </w:r>
    </w:p>
    <w:p w14:paraId="189A93D8" w14:textId="77777777" w:rsidR="00710C56" w:rsidRPr="006862EB" w:rsidRDefault="00000000">
      <w:pPr>
        <w:pStyle w:val="Heading1"/>
        <w:pBdr>
          <w:bottom w:val="single" w:sz="6" w:space="4" w:color="2E75B6"/>
        </w:pBdr>
        <w:rPr>
          <w:rFonts w:ascii="Times New Roman" w:hAnsi="Times New Roman" w:cs="Times New Roman"/>
        </w:rPr>
      </w:pPr>
      <w:bookmarkStart w:id="30" w:name="_Toc234529072"/>
      <w:r w:rsidRPr="006862EB">
        <w:rPr>
          <w:rFonts w:ascii="Times New Roman" w:hAnsi="Times New Roman" w:cs="Times New Roman"/>
        </w:rPr>
        <w:lastRenderedPageBreak/>
        <w:t>10. Conclusion</w:t>
      </w:r>
      <w:bookmarkEnd w:id="30"/>
    </w:p>
    <w:p w14:paraId="518C4038" w14:textId="77777777" w:rsidR="007A370E" w:rsidRPr="006862EB" w:rsidRDefault="007A370E" w:rsidP="007A370E">
      <w:pPr>
        <w:rPr>
          <w:rFonts w:ascii="Times New Roman" w:hAnsi="Times New Roman" w:cs="Times New Roman"/>
          <w:sz w:val="28"/>
          <w:szCs w:val="28"/>
        </w:rPr>
      </w:pPr>
      <w:r w:rsidRPr="006862EB">
        <w:rPr>
          <w:rFonts w:ascii="Times New Roman" w:hAnsi="Times New Roman" w:cs="Times New Roman"/>
          <w:sz w:val="28"/>
          <w:szCs w:val="28"/>
        </w:rPr>
        <w:t>This project successfully developed a complete Mutual Fund Analytics System by integrating Python, SQLite, and Power BI into a unified, end-to-end pipeline that transforms raw data into actionable financial intelligence. Python serves as the core data engineering engine, orchestrating API data extraction, cleaning raw anomalies, and executing complex quantitative transformations. The processed data is stored in a structured SQLite database, which acts as a lightweight, indexed data warehouse ensuring relational integrity and fast query performance. Finally, Power BI establishes a seamless connection to this storage layer, serving as an interactive business intelligence interface that translates dense numbers into executive-ready dashboards.</w:t>
      </w:r>
    </w:p>
    <w:p w14:paraId="0C887485" w14:textId="77777777" w:rsidR="007A370E" w:rsidRPr="006862EB" w:rsidRDefault="007A370E" w:rsidP="007A370E">
      <w:pPr>
        <w:rPr>
          <w:rFonts w:ascii="Times New Roman" w:hAnsi="Times New Roman" w:cs="Times New Roman"/>
          <w:sz w:val="28"/>
          <w:szCs w:val="28"/>
        </w:rPr>
      </w:pPr>
      <w:r w:rsidRPr="006862EB">
        <w:rPr>
          <w:rFonts w:ascii="Times New Roman" w:hAnsi="Times New Roman" w:cs="Times New Roman"/>
          <w:sz w:val="28"/>
          <w:szCs w:val="28"/>
        </w:rPr>
        <w:t>By moving beyond basic descriptive statistics, the platform introduces advanced quantitative rigor to evaluate risk and return profiles accurately. Incorporating Historical Value at Risk (</w:t>
      </w:r>
      <w:proofErr w:type="spellStart"/>
      <w:r w:rsidRPr="006862EB">
        <w:rPr>
          <w:rFonts w:ascii="Times New Roman" w:hAnsi="Times New Roman" w:cs="Times New Roman"/>
          <w:sz w:val="28"/>
          <w:szCs w:val="28"/>
        </w:rPr>
        <w:t>VaR</w:t>
      </w:r>
      <w:proofErr w:type="spellEnd"/>
      <w:r w:rsidRPr="006862EB">
        <w:rPr>
          <w:rFonts w:ascii="Times New Roman" w:hAnsi="Times New Roman" w:cs="Times New Roman"/>
          <w:sz w:val="28"/>
          <w:szCs w:val="28"/>
        </w:rPr>
        <w:t xml:space="preserve">) and Conditional Value at Risk (CVaR) allows investors to isolate extreme tail-risk and understand potential losses during black swan events. Furthermore, by calculating Rolling Sharpe Ratios over moving time horizons, the system successfully tracks the consistency of a fund manager's performance, exposing style drift and temporary, luck-driven returns. The addition of </w:t>
      </w:r>
      <w:proofErr w:type="spellStart"/>
      <w:r w:rsidRPr="006862EB">
        <w:rPr>
          <w:rFonts w:ascii="Times New Roman" w:hAnsi="Times New Roman" w:cs="Times New Roman"/>
          <w:sz w:val="28"/>
          <w:szCs w:val="28"/>
        </w:rPr>
        <w:t>behavioral</w:t>
      </w:r>
      <w:proofErr w:type="spellEnd"/>
      <w:r w:rsidRPr="006862EB">
        <w:rPr>
          <w:rFonts w:ascii="Times New Roman" w:hAnsi="Times New Roman" w:cs="Times New Roman"/>
          <w:sz w:val="28"/>
          <w:szCs w:val="28"/>
        </w:rPr>
        <w:t xml:space="preserve"> analytics, such as Systematic Investment Plan (SIP) continuity tracking and cohort analysis, further elevates the system by identifying investor drop-off triggers and tracking capital retention trends across different demographic groups.</w:t>
      </w:r>
    </w:p>
    <w:p w14:paraId="69EAD36D" w14:textId="77777777" w:rsidR="007A370E" w:rsidRPr="006862EB" w:rsidRDefault="007A370E" w:rsidP="007A370E">
      <w:pPr>
        <w:rPr>
          <w:rFonts w:ascii="Times New Roman" w:hAnsi="Times New Roman" w:cs="Times New Roman"/>
          <w:sz w:val="28"/>
          <w:szCs w:val="28"/>
        </w:rPr>
      </w:pPr>
      <w:r w:rsidRPr="006862EB">
        <w:rPr>
          <w:rFonts w:ascii="Times New Roman" w:hAnsi="Times New Roman" w:cs="Times New Roman"/>
          <w:sz w:val="28"/>
          <w:szCs w:val="28"/>
        </w:rPr>
        <w:t>Ultimately, the project delivers high business value by eliminating information asymmetry and empowering data-driven decision-making. The automated dashboards clearly visualize the compounding drag of high expense ratios, proving that lower fees consistently yield better net returns over long horizons. For individual investors and wealth managers, the system provides a clear framework to filter funds by objective, risk-adjusted metrics rather than relying on superficial, past performance. For asset management firms, the ability to pinpoint irregular SIP patterns offers a proactive mechanism to intervene early, reduce client churn, and stabilize long-term asset management inflows, demonstrating a highly practical application of modern data technology in finance.</w:t>
      </w:r>
    </w:p>
    <w:p w14:paraId="4798F1FC" w14:textId="77777777" w:rsidR="00710C56" w:rsidRPr="006862EB" w:rsidRDefault="00000000">
      <w:pPr>
        <w:rPr>
          <w:rFonts w:ascii="Times New Roman" w:hAnsi="Times New Roman" w:cs="Times New Roman"/>
        </w:rPr>
      </w:pPr>
      <w:r w:rsidRPr="006862EB">
        <w:rPr>
          <w:rFonts w:ascii="Times New Roman" w:hAnsi="Times New Roman" w:cs="Times New Roman"/>
        </w:rPr>
        <w:br w:type="page"/>
      </w:r>
    </w:p>
    <w:p w14:paraId="51881C99" w14:textId="77777777" w:rsidR="00710C56" w:rsidRPr="006862EB" w:rsidRDefault="00000000">
      <w:pPr>
        <w:pStyle w:val="Heading1"/>
        <w:pBdr>
          <w:bottom w:val="single" w:sz="6" w:space="4" w:color="2E75B6"/>
        </w:pBdr>
        <w:rPr>
          <w:rFonts w:ascii="Times New Roman" w:hAnsi="Times New Roman" w:cs="Times New Roman"/>
        </w:rPr>
      </w:pPr>
      <w:bookmarkStart w:id="31" w:name="_Toc234529073"/>
      <w:r w:rsidRPr="006862EB">
        <w:rPr>
          <w:rFonts w:ascii="Times New Roman" w:hAnsi="Times New Roman" w:cs="Times New Roman"/>
        </w:rPr>
        <w:lastRenderedPageBreak/>
        <w:t>11. Future Scope</w:t>
      </w:r>
      <w:bookmarkEnd w:id="31"/>
    </w:p>
    <w:p w14:paraId="0A9B43B7" w14:textId="77777777" w:rsidR="007A370E" w:rsidRPr="006862EB" w:rsidRDefault="007A370E" w:rsidP="007A370E">
      <w:pPr>
        <w:pStyle w:val="ListParagraph"/>
        <w:numPr>
          <w:ilvl w:val="0"/>
          <w:numId w:val="2"/>
        </w:numPr>
        <w:spacing w:after="100"/>
        <w:rPr>
          <w:rFonts w:ascii="Times New Roman" w:hAnsi="Times New Roman" w:cs="Times New Roman"/>
          <w:sz w:val="28"/>
          <w:szCs w:val="28"/>
        </w:rPr>
      </w:pPr>
      <w:r w:rsidRPr="006862EB">
        <w:rPr>
          <w:rFonts w:ascii="Times New Roman" w:hAnsi="Times New Roman" w:cs="Times New Roman"/>
          <w:sz w:val="28"/>
          <w:szCs w:val="28"/>
        </w:rPr>
        <w:t>To scale the platform from a diagnostic reporting tool into a proactive, production-grade financial ecosystem, the following high-utility features have been integrated into the system's development roadmap:</w:t>
      </w:r>
    </w:p>
    <w:p w14:paraId="018186B2" w14:textId="77777777" w:rsidR="007A370E" w:rsidRPr="006862EB" w:rsidRDefault="007A370E" w:rsidP="007A370E">
      <w:pPr>
        <w:pStyle w:val="ListParagraph"/>
        <w:numPr>
          <w:ilvl w:val="0"/>
          <w:numId w:val="2"/>
        </w:numPr>
        <w:spacing w:after="100"/>
        <w:rPr>
          <w:rFonts w:ascii="Times New Roman" w:hAnsi="Times New Roman" w:cs="Times New Roman"/>
          <w:sz w:val="28"/>
          <w:szCs w:val="28"/>
        </w:rPr>
      </w:pPr>
      <w:r w:rsidRPr="006862EB">
        <w:rPr>
          <w:rFonts w:ascii="Times New Roman" w:hAnsi="Times New Roman" w:cs="Times New Roman"/>
          <w:b/>
          <w:bCs/>
          <w:sz w:val="28"/>
          <w:szCs w:val="28"/>
        </w:rPr>
        <w:t>AI-Based Investment Recommendations</w:t>
      </w:r>
      <w:r w:rsidRPr="006862EB">
        <w:rPr>
          <w:rFonts w:ascii="Times New Roman" w:hAnsi="Times New Roman" w:cs="Times New Roman"/>
          <w:sz w:val="28"/>
          <w:szCs w:val="28"/>
        </w:rPr>
        <w:t>: Utilizes an LLM-powered Retrieval-Augmented Generation (RAG) pipeline to ingest market news, fund disclosures, and macroeconomic data, delivering contextualized asset allocation advice tailored to user risk profiles. [</w:t>
      </w:r>
      <w:hyperlink r:id="rId37" w:history="1">
        <w:r w:rsidRPr="006862EB">
          <w:rPr>
            <w:rStyle w:val="Hyperlink"/>
            <w:rFonts w:ascii="Times New Roman" w:hAnsi="Times New Roman" w:cs="Times New Roman"/>
            <w:sz w:val="28"/>
            <w:szCs w:val="28"/>
          </w:rPr>
          <w:t>1</w:t>
        </w:r>
      </w:hyperlink>
      <w:r w:rsidRPr="006862EB">
        <w:rPr>
          <w:rFonts w:ascii="Times New Roman" w:hAnsi="Times New Roman" w:cs="Times New Roman"/>
          <w:sz w:val="28"/>
          <w:szCs w:val="28"/>
        </w:rPr>
        <w:t>]</w:t>
      </w:r>
    </w:p>
    <w:p w14:paraId="61190B84" w14:textId="77777777" w:rsidR="007A370E" w:rsidRPr="006862EB" w:rsidRDefault="007A370E" w:rsidP="007A370E">
      <w:pPr>
        <w:pStyle w:val="ListParagraph"/>
        <w:numPr>
          <w:ilvl w:val="0"/>
          <w:numId w:val="2"/>
        </w:numPr>
        <w:spacing w:after="100"/>
        <w:rPr>
          <w:rFonts w:ascii="Times New Roman" w:hAnsi="Times New Roman" w:cs="Times New Roman"/>
          <w:sz w:val="28"/>
          <w:szCs w:val="28"/>
        </w:rPr>
      </w:pPr>
      <w:r w:rsidRPr="006862EB">
        <w:rPr>
          <w:rFonts w:ascii="Times New Roman" w:hAnsi="Times New Roman" w:cs="Times New Roman"/>
          <w:b/>
          <w:bCs/>
          <w:sz w:val="28"/>
          <w:szCs w:val="28"/>
        </w:rPr>
        <w:t>Live NAV Integration</w:t>
      </w:r>
      <w:r w:rsidRPr="006862EB">
        <w:rPr>
          <w:rFonts w:ascii="Times New Roman" w:hAnsi="Times New Roman" w:cs="Times New Roman"/>
          <w:sz w:val="28"/>
          <w:szCs w:val="28"/>
        </w:rPr>
        <w:t>: Replaces end-of-day batch processing with live financial API webhooks, updating fund Net Asset Values (NAVs) throughout trading hours to maintain precision in intra-day valuations. [</w:t>
      </w:r>
      <w:hyperlink r:id="rId38" w:history="1">
        <w:r w:rsidRPr="006862EB">
          <w:rPr>
            <w:rStyle w:val="Hyperlink"/>
            <w:rFonts w:ascii="Times New Roman" w:hAnsi="Times New Roman" w:cs="Times New Roman"/>
            <w:sz w:val="28"/>
            <w:szCs w:val="28"/>
          </w:rPr>
          <w:t>1</w:t>
        </w:r>
      </w:hyperlink>
      <w:r w:rsidRPr="006862EB">
        <w:rPr>
          <w:rFonts w:ascii="Times New Roman" w:hAnsi="Times New Roman" w:cs="Times New Roman"/>
          <w:sz w:val="28"/>
          <w:szCs w:val="28"/>
        </w:rPr>
        <w:t>]</w:t>
      </w:r>
    </w:p>
    <w:p w14:paraId="18DBB148" w14:textId="77777777" w:rsidR="007A370E" w:rsidRPr="006862EB" w:rsidRDefault="007A370E" w:rsidP="007A370E">
      <w:pPr>
        <w:pStyle w:val="ListParagraph"/>
        <w:numPr>
          <w:ilvl w:val="0"/>
          <w:numId w:val="2"/>
        </w:numPr>
        <w:spacing w:after="100"/>
        <w:rPr>
          <w:rFonts w:ascii="Times New Roman" w:hAnsi="Times New Roman" w:cs="Times New Roman"/>
          <w:sz w:val="28"/>
          <w:szCs w:val="28"/>
        </w:rPr>
      </w:pPr>
      <w:proofErr w:type="spellStart"/>
      <w:r w:rsidRPr="006862EB">
        <w:rPr>
          <w:rFonts w:ascii="Times New Roman" w:hAnsi="Times New Roman" w:cs="Times New Roman"/>
          <w:b/>
          <w:bCs/>
          <w:sz w:val="28"/>
          <w:szCs w:val="28"/>
        </w:rPr>
        <w:t>Streamlit</w:t>
      </w:r>
      <w:proofErr w:type="spellEnd"/>
      <w:r w:rsidRPr="006862EB">
        <w:rPr>
          <w:rFonts w:ascii="Times New Roman" w:hAnsi="Times New Roman" w:cs="Times New Roman"/>
          <w:b/>
          <w:bCs/>
          <w:sz w:val="28"/>
          <w:szCs w:val="28"/>
        </w:rPr>
        <w:t xml:space="preserve"> Web Application</w:t>
      </w:r>
      <w:r w:rsidRPr="006862EB">
        <w:rPr>
          <w:rFonts w:ascii="Times New Roman" w:hAnsi="Times New Roman" w:cs="Times New Roman"/>
          <w:sz w:val="28"/>
          <w:szCs w:val="28"/>
        </w:rPr>
        <w:t>: Migrates the client interface from desktop business intelligence software into a lightweight, cloud-native web dashboard, offering cross-device accessibility and instant analytical processing. [</w:t>
      </w:r>
      <w:hyperlink r:id="rId39" w:history="1">
        <w:r w:rsidRPr="006862EB">
          <w:rPr>
            <w:rStyle w:val="Hyperlink"/>
            <w:rFonts w:ascii="Times New Roman" w:hAnsi="Times New Roman" w:cs="Times New Roman"/>
            <w:sz w:val="28"/>
            <w:szCs w:val="28"/>
          </w:rPr>
          <w:t>1</w:t>
        </w:r>
      </w:hyperlink>
      <w:r w:rsidRPr="006862EB">
        <w:rPr>
          <w:rFonts w:ascii="Times New Roman" w:hAnsi="Times New Roman" w:cs="Times New Roman"/>
          <w:sz w:val="28"/>
          <w:szCs w:val="28"/>
        </w:rPr>
        <w:t xml:space="preserve">, </w:t>
      </w:r>
      <w:hyperlink r:id="rId40" w:history="1">
        <w:r w:rsidRPr="006862EB">
          <w:rPr>
            <w:rStyle w:val="Hyperlink"/>
            <w:rFonts w:ascii="Times New Roman" w:hAnsi="Times New Roman" w:cs="Times New Roman"/>
            <w:sz w:val="28"/>
            <w:szCs w:val="28"/>
          </w:rPr>
          <w:t>2</w:t>
        </w:r>
      </w:hyperlink>
      <w:r w:rsidRPr="006862EB">
        <w:rPr>
          <w:rFonts w:ascii="Times New Roman" w:hAnsi="Times New Roman" w:cs="Times New Roman"/>
          <w:sz w:val="28"/>
          <w:szCs w:val="28"/>
        </w:rPr>
        <w:t>]</w:t>
      </w:r>
    </w:p>
    <w:p w14:paraId="3F2CCC6E" w14:textId="77777777" w:rsidR="007A370E" w:rsidRPr="006862EB" w:rsidRDefault="007A370E" w:rsidP="007A370E">
      <w:pPr>
        <w:pStyle w:val="ListParagraph"/>
        <w:numPr>
          <w:ilvl w:val="0"/>
          <w:numId w:val="2"/>
        </w:numPr>
        <w:spacing w:after="100"/>
        <w:rPr>
          <w:rFonts w:ascii="Times New Roman" w:hAnsi="Times New Roman" w:cs="Times New Roman"/>
          <w:sz w:val="28"/>
          <w:szCs w:val="28"/>
        </w:rPr>
      </w:pPr>
      <w:r w:rsidRPr="006862EB">
        <w:rPr>
          <w:rFonts w:ascii="Times New Roman" w:hAnsi="Times New Roman" w:cs="Times New Roman"/>
          <w:b/>
          <w:bCs/>
          <w:sz w:val="28"/>
          <w:szCs w:val="28"/>
        </w:rPr>
        <w:t>Monte Carlo Simulation</w:t>
      </w:r>
      <w:r w:rsidRPr="006862EB">
        <w:rPr>
          <w:rFonts w:ascii="Times New Roman" w:hAnsi="Times New Roman" w:cs="Times New Roman"/>
          <w:sz w:val="28"/>
          <w:szCs w:val="28"/>
        </w:rPr>
        <w:t xml:space="preserve">: Deploys localized stochastic </w:t>
      </w:r>
      <w:proofErr w:type="spellStart"/>
      <w:r w:rsidRPr="006862EB">
        <w:rPr>
          <w:rFonts w:ascii="Times New Roman" w:hAnsi="Times New Roman" w:cs="Times New Roman"/>
          <w:sz w:val="28"/>
          <w:szCs w:val="28"/>
        </w:rPr>
        <w:t>modeling</w:t>
      </w:r>
      <w:proofErr w:type="spellEnd"/>
      <w:r w:rsidRPr="006862EB">
        <w:rPr>
          <w:rFonts w:ascii="Times New Roman" w:hAnsi="Times New Roman" w:cs="Times New Roman"/>
          <w:sz w:val="28"/>
          <w:szCs w:val="28"/>
        </w:rPr>
        <w:t xml:space="preserve"> to run tens of thousands of asset return variations, stress-testing portfolio survival rates and predicting the probability of meeting long-term wealth goals under extreme market stress. [</w:t>
      </w:r>
      <w:hyperlink r:id="rId41" w:history="1">
        <w:r w:rsidRPr="006862EB">
          <w:rPr>
            <w:rStyle w:val="Hyperlink"/>
            <w:rFonts w:ascii="Times New Roman" w:hAnsi="Times New Roman" w:cs="Times New Roman"/>
            <w:sz w:val="28"/>
            <w:szCs w:val="28"/>
          </w:rPr>
          <w:t>1</w:t>
        </w:r>
      </w:hyperlink>
      <w:r w:rsidRPr="006862EB">
        <w:rPr>
          <w:rFonts w:ascii="Times New Roman" w:hAnsi="Times New Roman" w:cs="Times New Roman"/>
          <w:sz w:val="28"/>
          <w:szCs w:val="28"/>
        </w:rPr>
        <w:t xml:space="preserve">, </w:t>
      </w:r>
      <w:hyperlink r:id="rId42" w:history="1">
        <w:r w:rsidRPr="006862EB">
          <w:rPr>
            <w:rStyle w:val="Hyperlink"/>
            <w:rFonts w:ascii="Times New Roman" w:hAnsi="Times New Roman" w:cs="Times New Roman"/>
            <w:sz w:val="28"/>
            <w:szCs w:val="28"/>
          </w:rPr>
          <w:t>2</w:t>
        </w:r>
      </w:hyperlink>
      <w:r w:rsidRPr="006862EB">
        <w:rPr>
          <w:rFonts w:ascii="Times New Roman" w:hAnsi="Times New Roman" w:cs="Times New Roman"/>
          <w:sz w:val="28"/>
          <w:szCs w:val="28"/>
        </w:rPr>
        <w:t>]</w:t>
      </w:r>
    </w:p>
    <w:p w14:paraId="34AB776C" w14:textId="77777777" w:rsidR="007A370E" w:rsidRPr="006862EB" w:rsidRDefault="007A370E" w:rsidP="007A370E">
      <w:pPr>
        <w:pStyle w:val="ListParagraph"/>
        <w:numPr>
          <w:ilvl w:val="0"/>
          <w:numId w:val="2"/>
        </w:numPr>
        <w:spacing w:after="100"/>
        <w:rPr>
          <w:rFonts w:ascii="Times New Roman" w:hAnsi="Times New Roman" w:cs="Times New Roman"/>
          <w:sz w:val="28"/>
          <w:szCs w:val="28"/>
        </w:rPr>
      </w:pPr>
      <w:r w:rsidRPr="006862EB">
        <w:rPr>
          <w:rFonts w:ascii="Times New Roman" w:hAnsi="Times New Roman" w:cs="Times New Roman"/>
          <w:b/>
          <w:bCs/>
          <w:sz w:val="28"/>
          <w:szCs w:val="28"/>
        </w:rPr>
        <w:t>Markowitz Portfolio Optimization</w:t>
      </w:r>
      <w:r w:rsidRPr="006862EB">
        <w:rPr>
          <w:rFonts w:ascii="Times New Roman" w:hAnsi="Times New Roman" w:cs="Times New Roman"/>
          <w:sz w:val="28"/>
          <w:szCs w:val="28"/>
        </w:rPr>
        <w:t>: Implements the Modern Portfolio Theory (MPT) framework using quadratic optimization to calculate the efficient frontier, automatically maximizing expected returns for a client's designated risk threshold. [</w:t>
      </w:r>
      <w:hyperlink r:id="rId43" w:history="1">
        <w:r w:rsidRPr="006862EB">
          <w:rPr>
            <w:rStyle w:val="Hyperlink"/>
            <w:rFonts w:ascii="Times New Roman" w:hAnsi="Times New Roman" w:cs="Times New Roman"/>
            <w:sz w:val="28"/>
            <w:szCs w:val="28"/>
          </w:rPr>
          <w:t>1</w:t>
        </w:r>
      </w:hyperlink>
      <w:r w:rsidRPr="006862EB">
        <w:rPr>
          <w:rFonts w:ascii="Times New Roman" w:hAnsi="Times New Roman" w:cs="Times New Roman"/>
          <w:sz w:val="28"/>
          <w:szCs w:val="28"/>
        </w:rPr>
        <w:t xml:space="preserve">, </w:t>
      </w:r>
      <w:hyperlink r:id="rId44" w:history="1">
        <w:r w:rsidRPr="006862EB">
          <w:rPr>
            <w:rStyle w:val="Hyperlink"/>
            <w:rFonts w:ascii="Times New Roman" w:hAnsi="Times New Roman" w:cs="Times New Roman"/>
            <w:sz w:val="28"/>
            <w:szCs w:val="28"/>
          </w:rPr>
          <w:t>2</w:t>
        </w:r>
      </w:hyperlink>
      <w:r w:rsidRPr="006862EB">
        <w:rPr>
          <w:rFonts w:ascii="Times New Roman" w:hAnsi="Times New Roman" w:cs="Times New Roman"/>
          <w:sz w:val="28"/>
          <w:szCs w:val="28"/>
        </w:rPr>
        <w:t>]</w:t>
      </w:r>
    </w:p>
    <w:p w14:paraId="31112D72" w14:textId="77777777" w:rsidR="007A370E" w:rsidRPr="006862EB" w:rsidRDefault="007A370E" w:rsidP="007A370E">
      <w:pPr>
        <w:pStyle w:val="ListParagraph"/>
        <w:numPr>
          <w:ilvl w:val="0"/>
          <w:numId w:val="2"/>
        </w:numPr>
        <w:spacing w:after="100"/>
        <w:rPr>
          <w:rFonts w:ascii="Times New Roman" w:hAnsi="Times New Roman" w:cs="Times New Roman"/>
          <w:sz w:val="28"/>
          <w:szCs w:val="28"/>
        </w:rPr>
      </w:pPr>
      <w:r w:rsidRPr="006862EB">
        <w:rPr>
          <w:rFonts w:ascii="Times New Roman" w:hAnsi="Times New Roman" w:cs="Times New Roman"/>
          <w:b/>
          <w:bCs/>
          <w:sz w:val="28"/>
          <w:szCs w:val="28"/>
        </w:rPr>
        <w:t>Real-Time Portfolio Tracking</w:t>
      </w:r>
      <w:r w:rsidRPr="006862EB">
        <w:rPr>
          <w:rFonts w:ascii="Times New Roman" w:hAnsi="Times New Roman" w:cs="Times New Roman"/>
          <w:sz w:val="28"/>
          <w:szCs w:val="28"/>
        </w:rPr>
        <w:t>: Establishes continuous web-socket connections to calculate real-time capital gains, active risk allocations, and target asset weightings on a singular, unified screen. [</w:t>
      </w:r>
      <w:hyperlink r:id="rId45" w:history="1">
        <w:r w:rsidRPr="006862EB">
          <w:rPr>
            <w:rStyle w:val="Hyperlink"/>
            <w:rFonts w:ascii="Times New Roman" w:hAnsi="Times New Roman" w:cs="Times New Roman"/>
            <w:sz w:val="28"/>
            <w:szCs w:val="28"/>
          </w:rPr>
          <w:t>1</w:t>
        </w:r>
      </w:hyperlink>
      <w:r w:rsidRPr="006862EB">
        <w:rPr>
          <w:rFonts w:ascii="Times New Roman" w:hAnsi="Times New Roman" w:cs="Times New Roman"/>
          <w:sz w:val="28"/>
          <w:szCs w:val="28"/>
        </w:rPr>
        <w:t>]</w:t>
      </w:r>
    </w:p>
    <w:p w14:paraId="7B0945A1" w14:textId="77777777" w:rsidR="007A370E" w:rsidRPr="006862EB" w:rsidRDefault="007A370E" w:rsidP="007A370E">
      <w:pPr>
        <w:pStyle w:val="ListParagraph"/>
        <w:numPr>
          <w:ilvl w:val="0"/>
          <w:numId w:val="2"/>
        </w:numPr>
        <w:spacing w:after="100"/>
        <w:rPr>
          <w:rFonts w:ascii="Times New Roman" w:hAnsi="Times New Roman" w:cs="Times New Roman"/>
        </w:rPr>
      </w:pPr>
      <w:r w:rsidRPr="006862EB">
        <w:rPr>
          <w:rFonts w:ascii="Times New Roman" w:hAnsi="Times New Roman" w:cs="Times New Roman"/>
          <w:b/>
          <w:bCs/>
          <w:sz w:val="28"/>
          <w:szCs w:val="28"/>
        </w:rPr>
        <w:t>Automated Email Reporting</w:t>
      </w:r>
      <w:r w:rsidRPr="006862EB">
        <w:rPr>
          <w:rFonts w:ascii="Times New Roman" w:hAnsi="Times New Roman" w:cs="Times New Roman"/>
          <w:sz w:val="28"/>
          <w:szCs w:val="28"/>
        </w:rPr>
        <w:t>: Configures back-end worker scripts to compile personalized PDF performance statements and automatically dispatch them to users based on weekly, monthly, or triggered risk-threshold events</w:t>
      </w:r>
      <w:r w:rsidRPr="006862EB">
        <w:rPr>
          <w:rFonts w:ascii="Times New Roman" w:hAnsi="Times New Roman" w:cs="Times New Roman"/>
        </w:rPr>
        <w:t>.</w:t>
      </w:r>
    </w:p>
    <w:p w14:paraId="2F0FA1EB" w14:textId="5FF30F35" w:rsidR="00710C56" w:rsidRPr="006862EB" w:rsidRDefault="00710C56" w:rsidP="007A370E">
      <w:pPr>
        <w:pStyle w:val="ListParagraph"/>
        <w:numPr>
          <w:ilvl w:val="0"/>
          <w:numId w:val="2"/>
        </w:numPr>
        <w:spacing w:after="100"/>
        <w:rPr>
          <w:rFonts w:ascii="Times New Roman" w:hAnsi="Times New Roman" w:cs="Times New Roman"/>
        </w:rPr>
      </w:pPr>
    </w:p>
    <w:sectPr w:rsidR="00710C56" w:rsidRPr="006862EB">
      <w:headerReference w:type="default" r:id="rId46"/>
      <w:footerReference w:type="default" r:id="rId4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744C4" w14:textId="77777777" w:rsidR="00945652" w:rsidRDefault="00945652">
      <w:r>
        <w:separator/>
      </w:r>
    </w:p>
  </w:endnote>
  <w:endnote w:type="continuationSeparator" w:id="0">
    <w:p w14:paraId="48161B6B" w14:textId="77777777" w:rsidR="00945652" w:rsidRDefault="00945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85B1" w14:textId="77777777" w:rsidR="00710C56"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311AC">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7ECC6" w14:textId="77777777" w:rsidR="00945652" w:rsidRDefault="00945652">
      <w:r>
        <w:separator/>
      </w:r>
    </w:p>
  </w:footnote>
  <w:footnote w:type="continuationSeparator" w:id="0">
    <w:p w14:paraId="5094CEEF" w14:textId="77777777" w:rsidR="00945652" w:rsidRDefault="00945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4DF21" w14:textId="77777777" w:rsidR="00710C56" w:rsidRDefault="00000000">
    <w:pPr>
      <w:jc w:val="right"/>
    </w:pPr>
    <w:r>
      <w:rPr>
        <w:i/>
        <w:iCs/>
        <w:color w:val="808080"/>
        <w:sz w:val="16"/>
        <w:szCs w:val="16"/>
      </w:rPr>
      <w:t>Bluestock Mutual Fund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F768A"/>
    <w:multiLevelType w:val="multilevel"/>
    <w:tmpl w:val="A4DE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870E0"/>
    <w:multiLevelType w:val="multilevel"/>
    <w:tmpl w:val="1F127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D5E25"/>
    <w:multiLevelType w:val="hybridMultilevel"/>
    <w:tmpl w:val="39DC0E40"/>
    <w:lvl w:ilvl="0" w:tplc="E9CE3954">
      <w:start w:val="1"/>
      <w:numFmt w:val="bullet"/>
      <w:lvlText w:val="●"/>
      <w:lvlJc w:val="left"/>
      <w:pPr>
        <w:ind w:left="720" w:hanging="360"/>
      </w:pPr>
    </w:lvl>
    <w:lvl w:ilvl="1" w:tplc="9A8C63F8">
      <w:start w:val="1"/>
      <w:numFmt w:val="bullet"/>
      <w:lvlText w:val="○"/>
      <w:lvlJc w:val="left"/>
      <w:pPr>
        <w:ind w:left="1440" w:hanging="360"/>
      </w:pPr>
    </w:lvl>
    <w:lvl w:ilvl="2" w:tplc="7D8036A2">
      <w:start w:val="1"/>
      <w:numFmt w:val="bullet"/>
      <w:lvlText w:val="■"/>
      <w:lvlJc w:val="left"/>
      <w:pPr>
        <w:ind w:left="2160" w:hanging="360"/>
      </w:pPr>
    </w:lvl>
    <w:lvl w:ilvl="3" w:tplc="3D183FD6">
      <w:start w:val="1"/>
      <w:numFmt w:val="bullet"/>
      <w:lvlText w:val="●"/>
      <w:lvlJc w:val="left"/>
      <w:pPr>
        <w:ind w:left="2880" w:hanging="360"/>
      </w:pPr>
    </w:lvl>
    <w:lvl w:ilvl="4" w:tplc="6F5EE9C6">
      <w:start w:val="1"/>
      <w:numFmt w:val="bullet"/>
      <w:lvlText w:val="○"/>
      <w:lvlJc w:val="left"/>
      <w:pPr>
        <w:ind w:left="3600" w:hanging="360"/>
      </w:pPr>
    </w:lvl>
    <w:lvl w:ilvl="5" w:tplc="F8AC9416">
      <w:start w:val="1"/>
      <w:numFmt w:val="bullet"/>
      <w:lvlText w:val="■"/>
      <w:lvlJc w:val="left"/>
      <w:pPr>
        <w:ind w:left="4320" w:hanging="360"/>
      </w:pPr>
    </w:lvl>
    <w:lvl w:ilvl="6" w:tplc="B2CCDF76">
      <w:start w:val="1"/>
      <w:numFmt w:val="bullet"/>
      <w:lvlText w:val="●"/>
      <w:lvlJc w:val="left"/>
      <w:pPr>
        <w:ind w:left="5040" w:hanging="360"/>
      </w:pPr>
    </w:lvl>
    <w:lvl w:ilvl="7" w:tplc="67082566">
      <w:start w:val="1"/>
      <w:numFmt w:val="bullet"/>
      <w:lvlText w:val="●"/>
      <w:lvlJc w:val="left"/>
      <w:pPr>
        <w:ind w:left="5760" w:hanging="360"/>
      </w:pPr>
    </w:lvl>
    <w:lvl w:ilvl="8" w:tplc="389AE07C">
      <w:start w:val="1"/>
      <w:numFmt w:val="bullet"/>
      <w:lvlText w:val="●"/>
      <w:lvlJc w:val="left"/>
      <w:pPr>
        <w:ind w:left="6480" w:hanging="360"/>
      </w:pPr>
    </w:lvl>
  </w:abstractNum>
  <w:abstractNum w:abstractNumId="3" w15:restartNumberingAfterBreak="0">
    <w:nsid w:val="24CD1020"/>
    <w:multiLevelType w:val="multilevel"/>
    <w:tmpl w:val="B236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171E0"/>
    <w:multiLevelType w:val="multilevel"/>
    <w:tmpl w:val="F86C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1058EC"/>
    <w:multiLevelType w:val="hybridMultilevel"/>
    <w:tmpl w:val="3FF28012"/>
    <w:lvl w:ilvl="0" w:tplc="D604F5FC">
      <w:start w:val="1"/>
      <w:numFmt w:val="bullet"/>
      <w:lvlText w:val="•"/>
      <w:lvlJc w:val="left"/>
      <w:pPr>
        <w:ind w:left="381" w:hanging="240"/>
      </w:pPr>
    </w:lvl>
    <w:lvl w:ilvl="1" w:tplc="7D628B84">
      <w:numFmt w:val="decimal"/>
      <w:lvlText w:val=""/>
      <w:lvlJc w:val="left"/>
    </w:lvl>
    <w:lvl w:ilvl="2" w:tplc="EB7A4F0E">
      <w:numFmt w:val="decimal"/>
      <w:lvlText w:val=""/>
      <w:lvlJc w:val="left"/>
    </w:lvl>
    <w:lvl w:ilvl="3" w:tplc="4C20CB98">
      <w:numFmt w:val="decimal"/>
      <w:lvlText w:val=""/>
      <w:lvlJc w:val="left"/>
    </w:lvl>
    <w:lvl w:ilvl="4" w:tplc="3042DB7C">
      <w:numFmt w:val="decimal"/>
      <w:lvlText w:val=""/>
      <w:lvlJc w:val="left"/>
    </w:lvl>
    <w:lvl w:ilvl="5" w:tplc="CE10D280">
      <w:numFmt w:val="decimal"/>
      <w:lvlText w:val=""/>
      <w:lvlJc w:val="left"/>
    </w:lvl>
    <w:lvl w:ilvl="6" w:tplc="02D2B432">
      <w:numFmt w:val="decimal"/>
      <w:lvlText w:val=""/>
      <w:lvlJc w:val="left"/>
    </w:lvl>
    <w:lvl w:ilvl="7" w:tplc="690C7156">
      <w:numFmt w:val="decimal"/>
      <w:lvlText w:val=""/>
      <w:lvlJc w:val="left"/>
    </w:lvl>
    <w:lvl w:ilvl="8" w:tplc="8C4E3054">
      <w:numFmt w:val="decimal"/>
      <w:lvlText w:val=""/>
      <w:lvlJc w:val="left"/>
    </w:lvl>
  </w:abstractNum>
  <w:abstractNum w:abstractNumId="6" w15:restartNumberingAfterBreak="0">
    <w:nsid w:val="7F2E4AC4"/>
    <w:multiLevelType w:val="multilevel"/>
    <w:tmpl w:val="2460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5B12BB"/>
    <w:multiLevelType w:val="multilevel"/>
    <w:tmpl w:val="96AC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750467">
    <w:abstractNumId w:val="2"/>
    <w:lvlOverride w:ilvl="0">
      <w:startOverride w:val="1"/>
    </w:lvlOverride>
  </w:num>
  <w:num w:numId="2" w16cid:durableId="1603755482">
    <w:abstractNumId w:val="5"/>
    <w:lvlOverride w:ilvl="0">
      <w:startOverride w:val="1"/>
    </w:lvlOverride>
  </w:num>
  <w:num w:numId="3" w16cid:durableId="736781466">
    <w:abstractNumId w:val="0"/>
  </w:num>
  <w:num w:numId="4" w16cid:durableId="530068703">
    <w:abstractNumId w:val="3"/>
  </w:num>
  <w:num w:numId="5" w16cid:durableId="2140999970">
    <w:abstractNumId w:val="1"/>
  </w:num>
  <w:num w:numId="6" w16cid:durableId="1944727169">
    <w:abstractNumId w:val="7"/>
  </w:num>
  <w:num w:numId="7" w16cid:durableId="217324229">
    <w:abstractNumId w:val="4"/>
  </w:num>
  <w:num w:numId="8" w16cid:durableId="10807172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C56"/>
    <w:rsid w:val="00095018"/>
    <w:rsid w:val="001E0DC0"/>
    <w:rsid w:val="006862EB"/>
    <w:rsid w:val="00710C56"/>
    <w:rsid w:val="00781047"/>
    <w:rsid w:val="007A370E"/>
    <w:rsid w:val="008311AC"/>
    <w:rsid w:val="00945652"/>
    <w:rsid w:val="0097591D"/>
    <w:rsid w:val="00A12993"/>
    <w:rsid w:val="00B369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49AE7"/>
  <w15:docId w15:val="{89AC5098-4B03-4C4D-BDF6-8CDB1917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0"/>
      <w:szCs w:val="30"/>
    </w:rPr>
  </w:style>
  <w:style w:type="paragraph" w:styleId="Heading2">
    <w:name w:val="heading 2"/>
    <w:uiPriority w:val="9"/>
    <w:unhideWhenUsed/>
    <w:qFormat/>
    <w:pPr>
      <w:spacing w:before="280" w:after="14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311AC"/>
    <w:pPr>
      <w:spacing w:after="100"/>
    </w:pPr>
  </w:style>
  <w:style w:type="paragraph" w:styleId="TOC2">
    <w:name w:val="toc 2"/>
    <w:basedOn w:val="Normal"/>
    <w:next w:val="Normal"/>
    <w:autoRedefine/>
    <w:uiPriority w:val="39"/>
    <w:unhideWhenUsed/>
    <w:rsid w:val="008311AC"/>
    <w:pPr>
      <w:spacing w:after="100"/>
      <w:ind w:left="220"/>
    </w:pPr>
  </w:style>
  <w:style w:type="character" w:styleId="UnresolvedMention">
    <w:name w:val="Unresolved Mention"/>
    <w:basedOn w:val="DefaultParagraphFont"/>
    <w:uiPriority w:val="99"/>
    <w:semiHidden/>
    <w:unhideWhenUsed/>
    <w:rsid w:val="007A37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bajajfinserv.in/investments/value-at-risk" TargetMode="External"/><Relationship Id="rId39" Type="http://schemas.openxmlformats.org/officeDocument/2006/relationships/hyperlink" Target="https://blog.devgenius.io/real-time-data-analysis-with-streamlit-5bba3de74d03" TargetMode="External"/><Relationship Id="rId21" Type="http://schemas.openxmlformats.org/officeDocument/2006/relationships/hyperlink" Target="https://www.trustnet.com/investing/13425769/what-is-historic-value-at-risk" TargetMode="External"/><Relationship Id="rId34" Type="http://schemas.openxmlformats.org/officeDocument/2006/relationships/hyperlink" Target="https://www.sbimf.com/learn-about-mutual-funds/what-is-alpha-beta-in-mutual-funds" TargetMode="External"/><Relationship Id="rId42" Type="http://schemas.openxmlformats.org/officeDocument/2006/relationships/hyperlink" Target="https://github.com/mayank171" TargetMode="External"/><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pensionfund.cern.ch/en/conditional-value-at-risk-cvar/" TargetMode="External"/><Relationship Id="rId11" Type="http://schemas.openxmlformats.org/officeDocument/2006/relationships/image" Target="media/image5.png"/><Relationship Id="rId24" Type="http://schemas.openxmlformats.org/officeDocument/2006/relationships/hyperlink" Target="https://testbook.com/question-answer/value-at-risk-var-primarily-estimates--699dedb1bbb6b8baf7f57c2a" TargetMode="External"/><Relationship Id="rId32" Type="http://schemas.openxmlformats.org/officeDocument/2006/relationships/hyperlink" Target="https://thehedgefundjournal.com/the-investment-performance-of-sharpe-ratios/" TargetMode="External"/><Relationship Id="rId37" Type="http://schemas.openxmlformats.org/officeDocument/2006/relationships/hyperlink" Target="https://github.com/mayank171" TargetMode="External"/><Relationship Id="rId40" Type="http://schemas.openxmlformats.org/officeDocument/2006/relationships/hyperlink" Target="https://github.com/mayank171" TargetMode="External"/><Relationship Id="rId45" Type="http://schemas.openxmlformats.org/officeDocument/2006/relationships/hyperlink" Target="https://github.com/mayank171"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search.proquest.com/openview/5fe909761364d35bdb3e4a7184d3e618/1?pq-origsite=gscholar&amp;cbl=54459" TargetMode="External"/><Relationship Id="rId28" Type="http://schemas.openxmlformats.org/officeDocument/2006/relationships/hyperlink" Target="https://www.hyperbots.com/glossary/conditional-value-at-risk-cvar" TargetMode="External"/><Relationship Id="rId36" Type="http://schemas.openxmlformats.org/officeDocument/2006/relationships/hyperlink" Target="https://www.valueresearchonline.com/stories/223716/4-reasons-one-mutual-fund-portfolio-has-higher-returns-than-other/" TargetMode="Externa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medium.com/@navnoorbawa/beyond-the-99-confidence-why-value-at-risk-still-matters-and-where-it-falls-short-3e1f6c346c99" TargetMode="External"/><Relationship Id="rId44" Type="http://schemas.openxmlformats.org/officeDocument/2006/relationships/hyperlink" Target="https://www.analyticsvidhya.com/blog/2021/04/portfolio-optimization-using-mpt-in-pytho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bajajamc.com/knowledge-centre/conditional-value-at-risk" TargetMode="External"/><Relationship Id="rId27" Type="http://schemas.openxmlformats.org/officeDocument/2006/relationships/hyperlink" Target="https://www.bajajamc.com/knowledge-centre/conditional-value-at-risk" TargetMode="External"/><Relationship Id="rId30" Type="http://schemas.openxmlformats.org/officeDocument/2006/relationships/hyperlink" Target="https://www.truedata.in/blog/sortino-ratio-in-mutual-funds" TargetMode="External"/><Relationship Id="rId35" Type="http://schemas.openxmlformats.org/officeDocument/2006/relationships/hyperlink" Target="https://fello.in/blogs/sip-performance-during-2008-2020-2022-crashes/" TargetMode="External"/><Relationship Id="rId43" Type="http://schemas.openxmlformats.org/officeDocument/2006/relationships/hyperlink" Target="https://onlinelibrary.wiley.com/doi/pdf/10.1002/isd2.12346"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mdpi.com/2079-8954/13/8/720" TargetMode="External"/><Relationship Id="rId33" Type="http://schemas.openxmlformats.org/officeDocument/2006/relationships/hyperlink" Target="https://growthequityinterviewguide.com/venture-capital/types-of-venture-capital/venture-capital-mutual-funds" TargetMode="External"/><Relationship Id="rId38" Type="http://schemas.openxmlformats.org/officeDocument/2006/relationships/hyperlink" Target="https://github.com/mayank171" TargetMode="External"/><Relationship Id="rId46" Type="http://schemas.openxmlformats.org/officeDocument/2006/relationships/header" Target="header1.xml"/><Relationship Id="rId20" Type="http://schemas.openxmlformats.org/officeDocument/2006/relationships/hyperlink" Target="https://mse.ac.in/wp-content/uploads/2026/05/Working-paper-302.pdf" TargetMode="External"/><Relationship Id="rId41" Type="http://schemas.openxmlformats.org/officeDocument/2006/relationships/hyperlink" Target="https://www.ailoitte.com/insights/analytics-generative-ai-investment-management/"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3264</Words>
  <Characters>18610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 Lakshman Chowdary</cp:lastModifiedBy>
  <cp:revision>2</cp:revision>
  <dcterms:created xsi:type="dcterms:W3CDTF">2026-07-09T18:49:00Z</dcterms:created>
  <dcterms:modified xsi:type="dcterms:W3CDTF">2026-07-09T18:49:00Z</dcterms:modified>
</cp:coreProperties>
</file>