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20"/>
      </w:pPr>
      <w:r>
        <w:rPr>
          <w:b/>
          <w:sz w:val="36"/>
          <w:szCs w:val="36"/>
        </w:rPr>
        <w:t xml:space="preserve">Chapter 6 References</w:t>
      </w:r>
    </w:p>
    <w:p>
      <w:pPr>
        <w:jc w:val="both"/>
        <w:spacing w:after="150"/>
      </w:pPr>
      <w:r>
        <w:rPr>
          <w:b/>
          <w:sz w:val="30"/>
          <w:szCs w:val="30"/>
        </w:rPr>
        <w:t xml:space="preserve">References</w:t>
      </w:r>
    </w:p>
    <w:p>
      <w:pPr>
        <w:jc w:val="both"/>
        <w:spacing w:after="140"/>
      </w:pPr>
      <w:r>
        <w:rPr>
          <w:sz w:val="24"/>
          <w:szCs w:val="24"/>
        </w:rPr>
        <w:t xml:space="preserve">1. Breiman, L. (2001). Random Forests. Machine Learning, 45(1), 5-32.</w:t>
      </w:r>
    </w:p>
    <w:p>
      <w:pPr>
        <w:jc w:val="both"/>
        <w:spacing w:after="140"/>
      </w:pPr>
      <w:r>
        <w:rPr>
          <w:sz w:val="24"/>
          <w:szCs w:val="24"/>
        </w:rPr>
        <w:t xml:space="preserve">2. Friedman, J. H. (2001). Greedy Function Approximation: A Gradient Boosting Machine. The Annals of Statistics, 29(5), 1189-1232.</w:t>
      </w:r>
    </w:p>
    <w:p>
      <w:pPr>
        <w:jc w:val="both"/>
        <w:spacing w:after="140"/>
      </w:pPr>
      <w:r>
        <w:rPr>
          <w:sz w:val="24"/>
          <w:szCs w:val="24"/>
        </w:rPr>
        <w:t xml:space="preserve">3. Geurts, P., Ernst, D., and Wehenkel, L. (2006). Extremely Randomized Trees. Machine Learning, 63, 3-42.</w:t>
      </w:r>
    </w:p>
    <w:p>
      <w:pPr>
        <w:jc w:val="both"/>
        <w:spacing w:after="140"/>
      </w:pPr>
      <w:r>
        <w:rPr>
          <w:sz w:val="24"/>
          <w:szCs w:val="24"/>
        </w:rPr>
        <w:t xml:space="preserve">4. CMFRI Fish Catch Estimates. https://www.cmfri.org.in/fish-catch-estimates</w:t>
      </w:r>
    </w:p>
    <w:p>
      <w:pPr>
        <w:jc w:val="both"/>
        <w:spacing w:after="140"/>
      </w:pPr>
      <w:r>
        <w:rPr>
          <w:sz w:val="24"/>
          <w:szCs w:val="24"/>
        </w:rPr>
        <w:t xml:space="preserve">5. CMFRI Methodology. https://www.cmfri.org.in/methodology</w:t>
      </w:r>
    </w:p>
    <w:p>
      <w:pPr>
        <w:jc w:val="both"/>
        <w:spacing w:after="140"/>
      </w:pPr>
      <w:r>
        <w:rPr>
          <w:sz w:val="24"/>
          <w:szCs w:val="24"/>
        </w:rPr>
        <w:t xml:space="preserve">6. NOAA Optimum Interpolation Sea Surface Temperature. https://www.ncei.noaa.gov/products/optimum-interpolation-sst</w:t>
      </w:r>
    </w:p>
    <w:p>
      <w:pPr>
        <w:jc w:val="both"/>
        <w:spacing w:after="140"/>
      </w:pPr>
      <w:r>
        <w:rPr>
          <w:sz w:val="24"/>
          <w:szCs w:val="24"/>
        </w:rPr>
        <w:t xml:space="preserve">7. Copernicus Marine Physics Reanalysis. https://data.marine.copernicus.eu/product/GLOBAL_MULTIYEAR_PHY_001_030/description</w:t>
      </w:r>
    </w:p>
    <w:p>
      <w:pPr>
        <w:jc w:val="both"/>
        <w:spacing w:after="140"/>
      </w:pPr>
      <w:r>
        <w:rPr>
          <w:sz w:val="24"/>
          <w:szCs w:val="24"/>
        </w:rPr>
        <w:t xml:space="preserve">8. Copernicus Ocean Colour Chlorophyll Product. https://data.marine.copernicus.eu/product/OCEANCOLOUR_GLO_BGC_L3_MY_009_103/description</w:t>
      </w:r>
    </w:p>
    <w:p>
      <w:pPr>
        <w:jc w:val="both"/>
        <w:spacing w:after="140"/>
      </w:pPr>
      <w:r>
        <w:rPr>
          <w:sz w:val="24"/>
          <w:szCs w:val="24"/>
        </w:rPr>
        <w:t xml:space="preserve">9. INCOIS PFZ Advisory. https://services.incois.gov.in/MarineFisheries/PfzAdvisory.action</w:t>
      </w:r>
    </w:p>
    <w:p>
      <w:pPr>
        <w:jc w:val="both"/>
        <w:spacing w:after="140"/>
      </w:pPr>
      <w:r>
        <w:rPr>
          <w:sz w:val="24"/>
          <w:szCs w:val="24"/>
        </w:rPr>
        <w:t xml:space="preserve">10. INCOIS Marine Fisheries Text Data. https://services.incois.gov.in/MarineFisheries/TextDataHome?mfid=1&amp;request_locale=en</w:t>
      </w:r>
    </w:p>
    <w:p>
      <w:pPr>
        <w:jc w:val="both"/>
        <w:spacing w:after="140"/>
      </w:pPr>
      <w:r>
        <w:rPr>
          <w:sz w:val="24"/>
          <w:szCs w:val="24"/>
        </w:rPr>
        <w:t xml:space="preserve">11. FishBase Glossary: Length at First Maturity. https://www.fishbase.se/glossary/Glossary.php?q=length+at+first+maturity</w:t>
      </w:r>
    </w:p>
    <w:p>
      <w:pPr>
        <w:jc w:val="both"/>
        <w:spacing w:after="140"/>
      </w:pPr>
      <w:r>
        <w:rPr>
          <w:sz w:val="24"/>
          <w:szCs w:val="24"/>
        </w:rPr>
        <w:t xml:space="preserve">12. scikit-learn Documentation. https://scikit-learn.org/</w:t>
      </w:r>
    </w:p>
    <w:p>
      <w:pPr>
        <w:jc w:val="both"/>
        <w:spacing w:after="140"/>
      </w:pPr>
      <w:r>
        <w:rPr>
          <w:sz w:val="24"/>
          <w:szCs w:val="24"/>
        </w:rPr>
        <w:t xml:space="preserve">13. Streamlit Documentation. https://streamlit.io/</w:t>
      </w:r>
    </w:p>
    <w:p/>
    <w:p>
      <w:pPr>
        <w:jc w:val="center"/>
        <w:spacing w:after="220"/>
      </w:pPr>
      <w:r>
        <w:rPr>
          <w:b/>
          <w:sz w:val="34"/>
          <w:szCs w:val="34"/>
        </w:rPr>
        <w:t xml:space="preserve">Appendix</w:t>
      </w:r>
    </w:p>
    <w:p>
      <w:pPr>
        <w:jc w:val="both"/>
        <w:spacing w:after="150"/>
      </w:pPr>
      <w:r>
        <w:rPr>
          <w:b/>
          <w:sz w:val="30"/>
          <w:szCs w:val="30"/>
        </w:rPr>
        <w:t xml:space="preserve">Appendix A: Key Algorithms</w:t>
      </w:r>
    </w:p>
    <w:p>
      <w:pPr>
        <w:jc w:val="both"/>
        <w:spacing w:after="140"/>
      </w:pPr>
      <w:r>
        <w:rPr>
          <w:sz w:val="24"/>
          <w:szCs w:val="24"/>
        </w:rPr>
        <w:t xml:space="preserve">Appendix A summarizes the core algorithms implemented in the proposed system. Fish availability is predicted using classification models, catch quantity is estimated using regression models, and juvenile-risk is assessed through both exact biological logic and an environmental fallback model.</w:t>
      </w:r>
    </w:p>
    <w:p>
      <w:pPr>
        <w:jc w:val="both"/>
        <w:spacing w:after="140"/>
      </w:pPr>
      <w:r>
        <w:rPr>
          <w:sz w:val="24"/>
          <w:szCs w:val="24"/>
        </w:rPr>
        <w:t xml:space="preserve">A.1 Random Forest Classifier: The Random Forest availability model uses the engineered environmental and catch features to classify whether fishing conditions are favorable. It is robust to non-linear interactions and performs well on mixed tabular data.</w:t>
      </w:r>
    </w:p>
    <w:p>
      <w:pPr>
        <w:jc w:val="both"/>
        <w:spacing w:after="140"/>
      </w:pPr>
      <w:r>
        <w:rPr>
          <w:sz w:val="24"/>
          <w:szCs w:val="24"/>
        </w:rPr>
        <w:t xml:space="preserve">A.2 Boosting Model: The boosting path is designed for gradient boosting based learning. On the current Mac environment, the code executes a Gradient Boosting fallback when native XGBoost runtime support is not available.</w:t>
      </w:r>
    </w:p>
    <w:p>
      <w:pPr>
        <w:jc w:val="both"/>
        <w:spacing w:after="140"/>
      </w:pPr>
      <w:r>
        <w:rPr>
          <w:sz w:val="24"/>
          <w:szCs w:val="24"/>
        </w:rPr>
        <w:t xml:space="preserve">A.3 Hybrid Model: The hybrid model combines PCA-based dimensionality reduction with ensemble learners such as Random Forest, Extra Trees, and Boosting. This improves representation learning while preserving ensemble robustness.</w:t>
      </w:r>
    </w:p>
    <w:p>
      <w:pPr>
        <w:jc w:val="both"/>
        <w:spacing w:after="140"/>
      </w:pPr>
      <w:r>
        <w:rPr>
          <w:sz w:val="24"/>
          <w:szCs w:val="24"/>
        </w:rPr>
        <w:t xml:space="preserve">A.4 Juvenile-Risk Model: The juvenile-risk layer uses an Extra Trees classifier for the fallback environmental path and an exact maturity-based rule whenever species name, observed length, and maturity length are available.</w:t>
      </w:r>
    </w:p>
    <w:p>
      <w:pPr>
        <w:jc w:val="both"/>
        <w:spacing w:after="140"/>
      </w:pPr>
      <w:r>
        <w:rPr>
          <w:sz w:val="24"/>
          <w:szCs w:val="24"/>
        </w:rPr>
        <w:t xml:space="preserve">A.5 Exact Juvenile Formula: JR = 1 - (Observed Length / Maturity Length). If the observed length is well below maturity length, the zone is classified as high juvenile risk.</w:t>
      </w:r>
    </w:p>
    <w:p>
      <w:pPr>
        <w:jc w:val="both"/>
        <w:spacing w:after="140"/>
      </w:pPr>
      <w:r>
        <w:rPr>
          <w:sz w:val="24"/>
          <w:szCs w:val="24"/>
        </w:rPr>
        <w:t xml:space="preserve">A.6 Safe-Zone Recommendation: When a zone is not recommended, the decision engine searches nearby candidate coordinates and suggests an alternative lower-risk zone for safer fishing operations.</w:t>
      </w:r>
    </w:p>
    <w:p>
      <w:pPr>
        <w:jc w:val="center"/>
        <w:spacing w:after="90"/>
      </w:pPr>
      <w:r>
        <w:rPr>
          <w:i/>
          <w:sz w:val="22"/>
          <w:szCs w:val="22"/>
        </w:rPr>
        <w:t xml:space="preserve">Figure A.1 Core algorithm overview for the implemented fish catch prediction and juvenile-risk assessment system.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3443819"/>
            <wp:effectExtent l="0" t="0" r="0" b="0"/>
            <wp:docPr id="1" name="appendix_algorithms_over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algorithms_overview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both"/>
        <w:spacing w:after="150"/>
      </w:pPr>
      <w:r>
        <w:rPr>
          <w:b/>
          <w:sz w:val="30"/>
          <w:szCs w:val="30"/>
        </w:rPr>
        <w:t xml:space="preserve">Appendix B: Project Execution Commands</w:t>
      </w:r>
    </w:p>
    <w:p>
      <w:pPr>
        <w:jc w:val="both"/>
        <w:spacing w:after="140"/>
      </w:pPr>
      <w:r>
        <w:rPr>
          <w:sz w:val="24"/>
          <w:szCs w:val="24"/>
        </w:rPr>
        <w:t xml:space="preserve">Appendix B records the main commands required to execute the project, rebuild the dataset, retrain the models, validate the pipeline, and run the user interface.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.venv/bin/python src/check_external_datasets.py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.venv/bin/python src/run_full_pipeline.py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.venv/bin/python src/validate_project.py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.venv/bin/python src/demo_algorithms.py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.venv/bin/python src/generate_report_figures.py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.venv/bin/python -m unittest discover -s tests</w:t>
      </w:r>
    </w:p>
    <w:p>
      <w:pPr>
        <w:jc w:val="both"/>
        <w:spacing w:after="140"/>
      </w:pPr>
      <w:r>
        <w:rPr>
          <w:sz w:val="22"/>
          <w:szCs w:val="22"/>
        </w:rPr>
        <w:t xml:space="preserve">$ .venv/bin/streamlit run src/app.py --server.headless true --server.port 8501</w:t>
      </w:r>
    </w:p>
    <w:p>
      <w:pPr>
        <w:jc w:val="both"/>
        <w:spacing w:after="140"/>
      </w:pPr>
      <w:r>
        <w:rPr>
          <w:sz w:val="24"/>
          <w:szCs w:val="24"/>
        </w:rPr>
        <w:t xml:space="preserve">The execution flow normally begins with data validation, continues with dataset rebuilding and model training, and then ends with report generation, automated tests, and application launch.</w:t>
      </w:r>
    </w:p>
    <w:p>
      <w:pPr>
        <w:jc w:val="center"/>
        <w:spacing w:after="90"/>
      </w:pPr>
      <w:r>
        <w:rPr>
          <w:i/>
          <w:sz w:val="22"/>
          <w:szCs w:val="22"/>
        </w:rPr>
        <w:t xml:space="preserve">Figure B.1 Project execution workflow showing the main scripts and runtime stages.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2012899"/>
            <wp:effectExtent l="0" t="0" r="0" b="0"/>
            <wp:docPr id="2" name="appendix_execution_workflo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execution_workflow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both"/>
        <w:spacing w:after="150"/>
      </w:pPr>
      <w:r>
        <w:rPr>
          <w:b/>
          <w:sz w:val="30"/>
          <w:szCs w:val="30"/>
        </w:rPr>
        <w:t xml:space="preserve">Appendix C: Validation Procedure</w:t>
      </w:r>
    </w:p>
    <w:p>
      <w:pPr>
        <w:jc w:val="both"/>
        <w:spacing w:after="140"/>
      </w:pPr>
      <w:r>
        <w:rPr>
          <w:sz w:val="24"/>
          <w:szCs w:val="24"/>
        </w:rPr>
        <w:t xml:space="preserve">Appendix C explains how validation is carried out in the project. Validation is performed at three levels: data validation, model validation, and logic validation.</w:t>
      </w:r>
    </w:p>
    <w:p>
      <w:pPr>
        <w:jc w:val="both"/>
        <w:spacing w:after="140"/>
      </w:pPr>
      <w:r>
        <w:rPr>
          <w:sz w:val="24"/>
          <w:szCs w:val="24"/>
        </w:rPr>
        <w:t xml:space="preserve">C.1 Data Validation: Verify dataset source path, row count, required fields, field observation rows, and exact-ready juvenile rows.</w:t>
      </w:r>
    </w:p>
    <w:p>
      <w:pPr>
        <w:jc w:val="both"/>
        <w:spacing w:after="140"/>
      </w:pPr>
      <w:r>
        <w:rPr>
          <w:sz w:val="24"/>
          <w:szCs w:val="24"/>
        </w:rPr>
        <w:t xml:space="preserve">C.2 Model Validation: Measure fish availability accuracy, catch quantity RMSE, juvenile-risk accuracy, and weighted F1-score using the validation script.</w:t>
      </w:r>
    </w:p>
    <w:p>
      <w:pPr>
        <w:jc w:val="both"/>
        <w:spacing w:after="140"/>
      </w:pPr>
      <w:r>
        <w:rPr>
          <w:sz w:val="24"/>
          <w:szCs w:val="24"/>
        </w:rPr>
        <w:t xml:space="preserve">C.3 Logic Validation: Confirm that the exact juvenile formula behaves correctly when species and observed length are available, and verify the environmental fallback path when those values are absent.</w:t>
      </w:r>
    </w:p>
    <w:p>
      <w:pPr>
        <w:jc w:val="both"/>
        <w:spacing w:after="140"/>
      </w:pPr>
      <w:r>
        <w:rPr>
          <w:sz w:val="24"/>
          <w:szCs w:val="24"/>
        </w:rPr>
        <w:t xml:space="preserve">C.4 Current Validated Status: Dataset rows = 110, field observation rows = 4, exact-ready rows = 3, juvenile exact-label rows in training = 3, and automated tests passed = 9.</w:t>
      </w:r>
    </w:p>
    <w:p>
      <w:pPr>
        <w:jc w:val="both"/>
        <w:spacing w:after="140"/>
      </w:pPr>
      <w:r>
        <w:rPr>
          <w:sz w:val="24"/>
          <w:szCs w:val="24"/>
        </w:rPr>
        <w:t xml:space="preserve">C.5 Visual Validation: The attached figures show comparative accuracy, RMSE, confusion matrix, and improvement trends for the implemented models.</w:t>
      </w:r>
    </w:p>
    <w:p>
      <w:pPr>
        <w:jc w:val="center"/>
        <w:spacing w:after="90"/>
      </w:pPr>
      <w:r>
        <w:rPr>
          <w:i/>
          <w:sz w:val="22"/>
          <w:szCs w:val="22"/>
        </w:rPr>
        <w:t xml:space="preserve">Figure C.1 Validation procedure used for data checks, model metrics, and logic verification.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3019348"/>
            <wp:effectExtent l="0" t="0" r="0" b="0"/>
            <wp:docPr id="3" name="appendix_validation_proced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validation_procedur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  <w:spacing w:after="90"/>
      </w:pPr>
      <w:r>
        <w:rPr>
          <w:i/>
          <w:sz w:val="22"/>
          <w:szCs w:val="22"/>
        </w:rPr>
        <w:t xml:space="preserve">Figure C.2 Availability prediction accuracy of the implemented models.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3506196"/>
            <wp:effectExtent l="0" t="0" r="0" b="0"/>
            <wp:docPr id="4" name="availability_accurac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_accurac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  <w:spacing w:after="90"/>
      </w:pPr>
      <w:r>
        <w:rPr>
          <w:i/>
          <w:sz w:val="22"/>
          <w:szCs w:val="22"/>
        </w:rPr>
        <w:t xml:space="preserve">Figure C.3 Catch quantity prediction RMSE comparison.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3506196"/>
            <wp:effectExtent l="0" t="0" r="0" b="0"/>
            <wp:docPr id="5" name="quantity_rms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y_rms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  <w:spacing w:after="90"/>
      </w:pPr>
      <w:r>
        <w:rPr>
          <w:i/>
          <w:sz w:val="22"/>
          <w:szCs w:val="22"/>
        </w:rPr>
        <w:t xml:space="preserve">Figure C.4 Juvenile-risk confusion matrix after class balancing and model refinement.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4975622"/>
            <wp:effectExtent l="0" t="0" r="0" b="0"/>
            <wp:docPr id="6" name="juvenile_confusion_matrix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venile_confus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  <w:spacing w:after="90"/>
      </w:pPr>
      <w:r>
        <w:rPr>
          <w:i/>
          <w:sz w:val="22"/>
          <w:szCs w:val="22"/>
        </w:rPr>
        <w:t xml:space="preserve">Figure C.5 Performance comparison before and after model improvement.</w:t>
      </w:r>
    </w:p>
    <w:p>
      <w:pPr>
        <w:jc w:val="center"/>
        <w:spacing w:after="10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806440" cy="3216376"/>
            <wp:effectExtent l="0" t="0" r="0" b="0"/>
            <wp:docPr id="7" name="improvement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appendix_algorithms_overview.png"/><Relationship Id="rId2" Type="http://schemas.openxmlformats.org/officeDocument/2006/relationships/image" Target="media/appendix_execution_workflow.png"/><Relationship Id="rId3" Type="http://schemas.openxmlformats.org/officeDocument/2006/relationships/image" Target="media/appendix_validation_procedure.png"/><Relationship Id="rId4" Type="http://schemas.openxmlformats.org/officeDocument/2006/relationships/image" Target="media/availability_accuracy.png"/><Relationship Id="rId5" Type="http://schemas.openxmlformats.org/officeDocument/2006/relationships/image" Target="media/quantity_rmse.png"/><Relationship Id="rId6" Type="http://schemas.openxmlformats.org/officeDocument/2006/relationships/image" Target="media/juvenile_confusion_matrix.png"/><Relationship Id="rId7" Type="http://schemas.openxmlformats.org/officeDocument/2006/relationships/image" Target="media/improvement_comparison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Conclusion and Future Scope</dc:title>
  <dc:creator>Codex</dc:creator>
  <cp:lastModifiedBy>Codex</cp:lastModifiedBy>
  <dcterms:created xsi:type="dcterms:W3CDTF">2026-03-25T13:40:31Z</dcterms:created>
  <dcterms:modified xsi:type="dcterms:W3CDTF">2026-03-25T13:40:31Z</dcterms:modified>
</cp:coreProperties>
</file>