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1: Frequency Analysis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6643688" cy="1471894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3688" cy="14718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highlight w:val="green"/>
        </w:rPr>
      </w:pPr>
      <w:r w:rsidDel="00000000" w:rsidR="00000000" w:rsidRPr="00000000">
        <w:rPr>
          <w:b w:val="1"/>
          <w:highlight w:val="green"/>
          <w:rtl w:val="0"/>
        </w:rPr>
        <w:t xml:space="preserve">Final Command:</w:t>
      </w:r>
      <w:r w:rsidDel="00000000" w:rsidR="00000000" w:rsidRPr="00000000">
        <w:rPr>
          <w:highlight w:val="green"/>
          <w:rtl w:val="0"/>
        </w:rPr>
        <w:t xml:space="preserve"> tr 'ytnvupxmhcrabeiqlfgzsdojk' 'THEANDOIRMGCFPLSWVBUKYJQX' &lt; ciphertext.txt &gt; output.txt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Final Output file content: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6596502" cy="5300587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6502" cy="53005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2: Encryption using Different Ciphers and Modes</w:t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858000" cy="4487275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8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653213" cy="4346127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53213" cy="43461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8862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6: Initial Vector (IV) and Common Mistakes</w:t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6.1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Same IV</w:t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905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546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Different IV</w:t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257727" cy="893961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57727" cy="8939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  <w:t xml:space="preserve">IV needs to be unique because if the content of the msg is same, encryption of that content will result in same ciphertext which can pave a way to backtrack and figure out the actual plain text is and can also be used to figure out encryption key and IV.</w:t>
      </w:r>
    </w:p>
    <w:p w:rsidR="00000000" w:rsidDel="00000000" w:rsidP="00000000" w:rsidRDefault="00000000" w:rsidRPr="00000000" w14:paraId="00000030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Task 6.2. Common Mistake: Use the Same IV</w:t>
      </w:r>
    </w:p>
    <w:p w:rsidR="00000000" w:rsidDel="00000000" w:rsidP="00000000" w:rsidRDefault="00000000" w:rsidRPr="00000000" w14:paraId="0000003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8001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5207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6604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Can he/she decrypt other encrypted messages if the IV is always the same?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Yes, we can decrypt other encrypted messages if the IV is always the same</w:t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6.3. Common Mistake: Use a Predictable IV</w:t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400800" cy="850725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85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480820" cy="997049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820" cy="9970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>
          <w:rtl w:val="0"/>
        </w:rPr>
        <w:t xml:space="preserve">Therefore, the actual content of Bob’s secret message is “Yes”</w:t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7: Programming using the Crypto Library</w:t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Code:</w:t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8735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7432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Therefore, the encryption key used is “Purdue##########”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11.png"/><Relationship Id="rId10" Type="http://schemas.openxmlformats.org/officeDocument/2006/relationships/image" Target="media/image8.png"/><Relationship Id="rId13" Type="http://schemas.openxmlformats.org/officeDocument/2006/relationships/image" Target="media/image9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4.png"/><Relationship Id="rId14" Type="http://schemas.openxmlformats.org/officeDocument/2006/relationships/image" Target="media/image12.png"/><Relationship Id="rId17" Type="http://schemas.openxmlformats.org/officeDocument/2006/relationships/image" Target="media/image2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7.png"/><Relationship Id="rId18" Type="http://schemas.openxmlformats.org/officeDocument/2006/relationships/image" Target="media/image1.png"/><Relationship Id="rId7" Type="http://schemas.openxmlformats.org/officeDocument/2006/relationships/image" Target="media/image15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