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21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LTVIP2025TMID39799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hd w:fill="ffffff" w:val="clear"/>
              <w:spacing w:after="160" w:before="300" w:line="526.1538461538462" w:lineRule="auto"/>
              <w:rPr/>
            </w:pPr>
            <w:bookmarkStart w:colFirst="0" w:colLast="0" w:name="_heading=h.anljccis0oy0" w:id="0"/>
            <w:bookmarkEnd w:id="0"/>
            <w:r w:rsidDel="00000000" w:rsidR="00000000" w:rsidRPr="00000000">
              <w:rPr>
                <w:rFonts w:ascii="Arial" w:cs="Arial" w:eastAsia="Arial" w:hAnsi="Arial"/>
                <w:color w:val="2d2828"/>
                <w:sz w:val="20"/>
                <w:szCs w:val="20"/>
                <w:rtl w:val="0"/>
              </w:rPr>
              <w:t xml:space="preserve"> Clean Tech: Transforming waste into Transfer Learning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– Solution Fit Template: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Manual blood cell classification is time-consuming, prone to human error, and requires expert pathologists. This leads to diagnostic delays and inconsistencies, especially in rural or resource-limited areas.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d2828"/>
          <w:sz w:val="20"/>
          <w:szCs w:val="20"/>
          <w:rtl w:val="0"/>
        </w:rPr>
        <w:t xml:space="preserve">Clean Tech: Transforming waste into Transfer Learning </w:t>
      </w: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Solve complex problems in a way that fits the state of your customers.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Succeed faster and increase your solution adoption by tapping into existing mediums and channels of behavior.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Sharpen your communication and marketing strategy with the right triggers and messaging.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 touch-points with your company by finding the right problem-behavior fit and building trust by solving frequent annoyances, or urgent or costly problems.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U.nderstand the existing situation in order to improve it for your target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434013" cy="304196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041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https://app.mural.co/t/smartbridgeaiml4943/m/smartbridgeaiml4943/1750999235365/2f2af4079bd6dbe26bcf23e2ce72c81c53d081ba?sender=u76a86db234d9bfb11e916073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app.mural.co/t/smartbridgeaiml4943/m/smartbridgeaiml4943/1750999235365/2f2af4079bd6dbe26bcf23e2ce72c81c53d081ba?sender=u76a86db234d9bfb11e91607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pbpXmuxy3WGoTNxPvm/4R7cBjg==">CgMxLjAyDmguYW5samNjaXMwb3kwOAByITFHczA5SzJ5U0M3dmd3XzBUbTZtUXdJVHk4ZTloQlBmZA==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2022-10-03T08:04:00Z</dcterms:created>
  <dc:creator>Amarender Katkam</dc:creator>
</cp:coreProperties>
</file>