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22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LTVIP2025TMID39799</w:t>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pStyle w:val="Heading3"/>
              <w:keepNext w:val="0"/>
              <w:keepLines w:val="0"/>
              <w:shd w:fill="ffffff" w:val="clear"/>
              <w:spacing w:after="160" w:before="300" w:line="526.1538461538462" w:lineRule="auto"/>
              <w:rPr/>
            </w:pPr>
            <w:bookmarkStart w:colFirst="0" w:colLast="0" w:name="_heading=h.358xswv4ol80" w:id="0"/>
            <w:bookmarkEnd w:id="0"/>
            <w:r w:rsidDel="00000000" w:rsidR="00000000" w:rsidRPr="00000000">
              <w:rPr>
                <w:rFonts w:ascii="Arial" w:cs="Arial" w:eastAsia="Arial" w:hAnsi="Arial"/>
                <w:color w:val="2d2828"/>
                <w:sz w:val="20"/>
                <w:szCs w:val="20"/>
                <w:rtl w:val="0"/>
              </w:rPr>
              <w:t xml:space="preserve">Clean Tech: Transforming waste into Transfer Learning</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Proposed Solution Template:</w:t>
      </w:r>
    </w:p>
    <w:p w:rsidR="00000000" w:rsidDel="00000000" w:rsidP="00000000" w:rsidRDefault="00000000" w:rsidRPr="00000000" w14:paraId="0000000F">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10">
            <w:pPr>
              <w:rPr>
                <w:b w:val="1"/>
              </w:rPr>
            </w:pPr>
            <w:r w:rsidDel="00000000" w:rsidR="00000000" w:rsidRPr="00000000">
              <w:rPr>
                <w:b w:val="1"/>
                <w:rtl w:val="0"/>
              </w:rPr>
              <w:t xml:space="preserve">S.No.</w:t>
            </w:r>
          </w:p>
        </w:tc>
        <w:tc>
          <w:tcPr/>
          <w:p w:rsidR="00000000" w:rsidDel="00000000" w:rsidP="00000000" w:rsidRDefault="00000000" w:rsidRPr="00000000" w14:paraId="00000011">
            <w:pPr>
              <w:rPr>
                <w:b w:val="1"/>
              </w:rPr>
            </w:pPr>
            <w:r w:rsidDel="00000000" w:rsidR="00000000" w:rsidRPr="00000000">
              <w:rPr>
                <w:b w:val="1"/>
                <w:rtl w:val="0"/>
              </w:rPr>
              <w:t xml:space="preserve">Parameter</w:t>
            </w:r>
          </w:p>
        </w:tc>
        <w:tc>
          <w:tcPr/>
          <w:p w:rsidR="00000000" w:rsidDel="00000000" w:rsidP="00000000" w:rsidRDefault="00000000" w:rsidRPr="00000000" w14:paraId="00000012">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Manual blood cell classification is time-consuming, prone to human error, and depends on highly trained pathologists. This leads to diagnostic delays and inconsistencies, especially in under-resourced clinical environments.</w:t>
            </w:r>
          </w:p>
          <w:p w:rsidR="00000000" w:rsidDel="00000000" w:rsidP="00000000" w:rsidRDefault="00000000" w:rsidRPr="00000000" w14:paraId="00000016">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HematoVision uses pre-trained Convolutional Neural Networks (CNNs) through transfer learning to automate blood cell classification. It classifies cells such as eosinophils, lymphocytes, monocytes, and neutrophils from microscope images with high accuracy. The system reduces manual workload, increases speed, and ensures consistent diagnostics.</w:t>
            </w:r>
          </w:p>
          <w:p w:rsidR="00000000" w:rsidDel="00000000" w:rsidP="00000000" w:rsidRDefault="00000000" w:rsidRPr="00000000" w14:paraId="0000001A">
            <w:pPr>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Uses transfer learning to leverage powerful pre-trained models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Reduces training time and improves accuracy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Works even with smaller datasets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Adaptable for integration into mobile/telemedicine platforms</w:t>
            </w:r>
          </w:p>
          <w:p w:rsidR="00000000" w:rsidDel="00000000" w:rsidP="00000000" w:rsidRDefault="00000000" w:rsidRPr="00000000" w14:paraId="00000024">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Helps pathologists focus on complex cases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Brings quality diagnostics to rural and remote healthcare centers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Reduces diagnostic errors and improves turnaround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Enhances medical training for students</w:t>
            </w:r>
          </w:p>
          <w:p w:rsidR="00000000" w:rsidDel="00000000" w:rsidP="00000000" w:rsidRDefault="00000000" w:rsidRPr="00000000" w14:paraId="0000002E">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Freemium model for educational institutes and labs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Paid integration with hospital diagnostic systems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Subscription model for telemedicine providers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Custom enterprise deployment for large diagnostic chains</w:t>
            </w:r>
          </w:p>
          <w:p w:rsidR="00000000" w:rsidDel="00000000" w:rsidP="00000000" w:rsidRDefault="00000000" w:rsidRPr="00000000" w14:paraId="00000038">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3A">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3B">
            <w:pPr>
              <w:rPr/>
            </w:pPr>
            <w:r w:rsidDel="00000000" w:rsidR="00000000" w:rsidRPr="00000000">
              <w:rPr>
                <w:rtl w:val="0"/>
              </w:rPr>
              <w:t xml:space="preserve">The model can be scaled to include more cell types and integrated with cloud-based diagnostic platforms. It can be adapted for use in mobile apps, APIs, or embedded in lab equipment for widespread use in both urban hospitals and rural clinics.</w:t>
            </w:r>
          </w:p>
        </w:tc>
      </w:tr>
    </w:tbl>
    <w:p w:rsidR="00000000" w:rsidDel="00000000" w:rsidP="00000000" w:rsidRDefault="00000000" w:rsidRPr="00000000" w14:paraId="0000003C">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Uw421H5qXiW8sLG1yOgjv4n3g==">CgMxLjAyDmguMzU4eHN3djRvbDgwOAByITFOZlhabmNwT0dsWWxLSnRDdU5YTUNuX0Jyd05jQjdxVA==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