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50"/>
        </w:rPr>
        <w:t>LATENTFORGE</w:t>
      </w:r>
    </w:p>
    <w:p>
      <w:pPr>
        <w:jc w:val="center"/>
      </w:pPr>
      <w:r>
        <w:rPr>
          <w:rFonts w:ascii="Times New Roman" w:hAnsi="Times New Roman"/>
          <w:b/>
          <w:sz w:val="32"/>
        </w:rPr>
        <w:t>Diversity-Aware Image Generation Using a Variational Autoencoder with Latent-Space Regularization</w:t>
      </w:r>
    </w:p>
    <w:p>
      <w:pPr>
        <w:spacing w:before="480"/>
        <w:jc w:val="center"/>
      </w:pPr>
      <w:r>
        <w:rPr>
          <w:rFonts w:ascii="Times New Roman" w:hAnsi="Times New Roman"/>
          <w:i/>
          <w:sz w:val="26"/>
        </w:rPr>
        <w:t>Research and Experimental Report</w:t>
      </w:r>
    </w:p>
    <w:p>
      <w:pPr>
        <w:spacing w:before="3000"/>
        <w:jc w:val="center"/>
      </w:pPr>
      <w:r>
        <w:rPr>
          <w:rFonts w:ascii="Times New Roman" w:hAnsi="Times New Roman"/>
          <w:sz w:val="24"/>
        </w:rPr>
        <w:t>Dataset: Fashion-MNIST</w:t>
        <w:br/>
        <w:t>Model family: Convolutional Variational Autoencoder (VAE)</w:t>
        <w:br/>
      </w:r>
    </w:p>
    <w:p>
      <w:pPr>
        <w:jc w:val="center"/>
      </w:pPr>
      <w:r>
        <w:rPr>
          <w:rFonts w:ascii="Times New Roman" w:hAnsi="Times New Roman"/>
          <w:i/>
          <w:sz w:val="20"/>
        </w:rPr>
        <w:t>Prepared from the available experiment records and saved results</w:t>
      </w:r>
    </w:p>
    <w:p>
      <w:r>
        <w:br w:type="page"/>
      </w:r>
    </w:p>
    <w:p>
      <w:pPr>
        <w:pStyle w:val="Heading1"/>
      </w:pPr>
      <w:r>
        <w:t>Abstract</w:t>
      </w:r>
    </w:p>
    <w:p>
      <w:r>
        <w:t>This project investigates how the weighting of the Kullback–Leibler (KL) divergence term in a Variational Autoencoder affects the balance between image reconstruction and latent-space regularization. Experiments were conducted on Fashion-MNIST using a convolutional VAE with a 16-dimensional latent space. The comparison includes a baseline with β = 1, fixed β values of 0.5, 2, and 4, a conventional KL warm-up schedule, and a validation-guided adaptive-beta strategy. The reconciled validation results show that the fixed β = 0.5 checkpoint achieved the lowest reconstruction loss among the compared checkpoints, while fixed β = 4 achieved the lowest KL divergence. The adaptive strategy produced competitive reconstruction metrics but did not demonstrate a clear advantage over the fixed-weight alternatives; its recorded β value remained at 1.0 after warm-up. Previously recorded pairwise pixel-distance measurements suggest broadly similar levels of pixel-space variation across generated samples, but these measurements are exploratory and do not establish semantic diversity. The results support the expected reconstruction–regularization trade-off, while further controlled evaluation is required to establish whether adaptive weighting improves generation quality or diversity.</w:t>
      </w:r>
    </w:p>
    <w:p>
      <w:pPr>
        <w:pStyle w:val="Heading1"/>
      </w:pPr>
      <w:r>
        <w:t>1. Introduction</w:t>
      </w:r>
    </w:p>
    <w:p>
      <w:r>
        <w:t>Generative models learn patterns in training data and can produce new samples resembling that data. A Variational Autoencoder (VAE) is a generative model that learns a probabilistic latent representation. Its objective combines a reconstruction term, which encourages outputs to resemble inputs, with a KL-divergence term, which encourages approximate posterior distributions to remain close to a chosen prior distribution.</w:t>
      </w:r>
    </w:p>
    <w:p>
      <w:r>
        <w:t>The coefficient β controls the relative contribution of the KL term. A smaller value can favor reconstruction, while a larger value places more emphasis on regularizing the latent representation. These objectives can compete, so the best setting depends on the intended use and the evaluation criteria.</w:t>
      </w:r>
    </w:p>
    <w:p>
      <w:pPr>
        <w:pStyle w:val="Heading2"/>
      </w:pPr>
      <w:r>
        <w:t>1.1 Research question</w:t>
      </w:r>
    </w:p>
    <w:p>
      <w:r>
        <w:t>How does a validation-guided KL-divergence weighting strategy affect the trade-off between reconstruction quality, generated-image diversity, and latent-space regularity on Fashion-MNIST compared with a fixed-weight VAE and a conventional KL warm-up baseline?</w:t>
      </w:r>
    </w:p>
    <w:p>
      <w:pPr>
        <w:pStyle w:val="Heading2"/>
      </w:pPr>
      <w:r>
        <w:t>1.2 Objectives</w:t>
      </w:r>
    </w:p>
    <w:p>
      <w:pPr>
        <w:pStyle w:val="ListBullet"/>
        <w:spacing w:after="60"/>
      </w:pPr>
      <w:r>
        <w:t>Compare fixed KL weights across multiple β values.</w:t>
      </w:r>
    </w:p>
    <w:p>
      <w:pPr>
        <w:pStyle w:val="ListBullet"/>
        <w:spacing w:after="60"/>
      </w:pPr>
      <w:r>
        <w:t>Compare a conventional KL warm-up schedule with fixed-weight baselines.</w:t>
      </w:r>
    </w:p>
    <w:p>
      <w:pPr>
        <w:pStyle w:val="ListBullet"/>
        <w:spacing w:after="60"/>
      </w:pPr>
      <w:r>
        <w:t>Evaluate a validation-guided adaptive-beta strategy.</w:t>
      </w:r>
    </w:p>
    <w:p>
      <w:pPr>
        <w:pStyle w:val="ListBullet"/>
        <w:spacing w:after="60"/>
      </w:pPr>
      <w:r>
        <w:t>Measure reconstruction loss and KL divergence, and inspect basic latent-space diagnostics.</w:t>
      </w:r>
    </w:p>
    <w:p>
      <w:pPr>
        <w:pStyle w:val="ListBullet"/>
        <w:spacing w:after="60"/>
      </w:pPr>
      <w:r>
        <w:t>Explore generated-sample variation while documenting the limitations of the available diversity metric.</w:t>
      </w:r>
    </w:p>
    <w:p>
      <w:pPr>
        <w:pStyle w:val="Heading1"/>
      </w:pPr>
      <w:r>
        <w:t>2. Background</w:t>
      </w:r>
    </w:p>
    <w:p>
      <w:pPr>
        <w:pStyle w:val="Heading2"/>
      </w:pPr>
      <w:r>
        <w:t>2.1 Variational Autoencoder</w:t>
      </w:r>
    </w:p>
    <w:p>
      <w:r>
        <w:t>A VAE contains an encoder that predicts parameters of a latent distribution and a decoder that maps latent vectors back to image space. During training, the objective combines reconstruction error and KL divergence. In this project, the reconstruction term uses binary cross-entropy and is normalized by batch size; the KL term is computed per image and averaged across the batch.</w:t>
      </w:r>
    </w:p>
    <w:p>
      <w:pPr>
        <w:pStyle w:val="Heading2"/>
      </w:pPr>
      <w:r>
        <w:t>2.2 KL weighting</w:t>
      </w:r>
    </w:p>
    <w:p>
      <w:r>
        <w:t>The β coefficient scales the KL term in the training objective. Reconstruction and KL values should be examined separately when comparing different β settings. The total objective is weighted differently across settings, so raw total-loss values from different β values are not a neutral, standalone ranking of model quality.</w:t>
      </w:r>
    </w:p>
    <w:p>
      <w:pPr>
        <w:pStyle w:val="Heading1"/>
      </w:pPr>
      <w:r>
        <w:t>3. Methodology</w:t>
      </w:r>
    </w:p>
    <w:p>
      <w:pPr>
        <w:pStyle w:val="Heading2"/>
      </w:pPr>
      <w:r>
        <w:t>3.1 Dataset and split</w:t>
      </w:r>
    </w:p>
    <w:p>
      <w:r>
        <w:t>The experiments use Fashion-MNIST grayscale clothing images. The recorded split contains 54,000 training images and 6,000 validation images drawn from the original training set, with a separate 10,000-image test dataset. The split was created using random seed 42. Images were converted to tensors with pixel values in the range [0, 1]. The restored evaluation loaders used a batch size of 128.</w:t>
      </w:r>
    </w:p>
    <w:p>
      <w:pPr>
        <w:pStyle w:val="Heading2"/>
      </w:pPr>
      <w:r>
        <w:t>3.2 Model configuration</w:t>
      </w:r>
    </w:p>
    <w:p>
      <w:pPr>
        <w:pStyle w:val="ListBullet"/>
        <w:spacing w:after="60"/>
      </w:pPr>
      <w:r>
        <w:t>Convolutional encoder with 32- and 64-channel convolution layers, followed by a fully connected hidden representation.</w:t>
      </w:r>
    </w:p>
    <w:p>
      <w:pPr>
        <w:pStyle w:val="ListBullet"/>
        <w:spacing w:after="60"/>
      </w:pPr>
      <w:r>
        <w:t>Latent dimension: 16.</w:t>
      </w:r>
    </w:p>
    <w:p>
      <w:pPr>
        <w:pStyle w:val="ListBullet"/>
        <w:spacing w:after="60"/>
      </w:pPr>
      <w:r>
        <w:t>Convolutional-transpose decoder with sigmoid output for grayscale pixels.</w:t>
      </w:r>
    </w:p>
    <w:p>
      <w:pPr>
        <w:pStyle w:val="ListBullet"/>
        <w:spacing w:after="60"/>
      </w:pPr>
      <w:r>
        <w:t>Optimizer recorded for the experiments: Adam with learning rate 0.001.</w:t>
      </w:r>
    </w:p>
    <w:p>
      <w:pPr>
        <w:pStyle w:val="ListBullet"/>
        <w:spacing w:after="60"/>
      </w:pPr>
      <w:r>
        <w:t>Nominal experiment duration: 30 epochs.</w:t>
      </w:r>
    </w:p>
    <w:p>
      <w:pPr>
        <w:pStyle w:val="ListBullet"/>
        <w:spacing w:after="60"/>
      </w:pPr>
      <w:r>
        <w:t>The original architecture and loss function were restored from the notebook before the checkpoint comparisons.</w:t>
      </w:r>
    </w:p>
    <w:p>
      <w:pPr>
        <w:pStyle w:val="Heading2"/>
      </w:pPr>
      <w:r>
        <w:t>3.3 Experiment groups</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9EAF7"/>
          </w:tcPr>
          <w:p>
            <w:pPr>
              <w:spacing w:after="0"/>
            </w:pPr>
            <w:r/>
            <w:r>
              <w:rPr>
                <w:rFonts w:ascii="Times New Roman" w:hAnsi="Times New Roman"/>
                <w:b/>
                <w:sz w:val="18"/>
              </w:rPr>
              <w:t>Experiment</w:t>
            </w:r>
          </w:p>
        </w:tc>
        <w:tc>
          <w:tcPr>
            <w:tcW w:type="dxa" w:w="6912"/>
            <w:vAlign w:val="center"/>
            <w:shd w:fill="D9EAF7"/>
          </w:tcPr>
          <w:p>
            <w:pPr>
              <w:spacing w:after="0"/>
            </w:pPr>
            <w:r/>
            <w:r>
              <w:rPr>
                <w:rFonts w:ascii="Times New Roman" w:hAnsi="Times New Roman"/>
                <w:b/>
                <w:sz w:val="18"/>
              </w:rPr>
              <w:t>KL-weight strategy</w:t>
            </w:r>
          </w:p>
        </w:tc>
      </w:tr>
      <w:tr>
        <w:tc>
          <w:tcPr>
            <w:tcW w:type="dxa" w:w="2448"/>
            <w:vAlign w:val="center"/>
          </w:tcPr>
          <w:p>
            <w:pPr>
              <w:spacing w:after="0"/>
            </w:pPr>
            <w:r/>
            <w:r>
              <w:rPr>
                <w:rFonts w:ascii="Times New Roman" w:hAnsi="Times New Roman"/>
                <w:b w:val="0"/>
                <w:sz w:val="18"/>
              </w:rPr>
              <w:t>Baseline VAE</w:t>
            </w:r>
          </w:p>
        </w:tc>
        <w:tc>
          <w:tcPr>
            <w:tcW w:type="dxa" w:w="6912"/>
            <w:vAlign w:val="center"/>
          </w:tcPr>
          <w:p>
            <w:pPr>
              <w:spacing w:after="0"/>
            </w:pPr>
            <w:r/>
            <w:r>
              <w:rPr>
                <w:rFonts w:ascii="Times New Roman" w:hAnsi="Times New Roman"/>
                <w:b w:val="0"/>
                <w:sz w:val="18"/>
              </w:rPr>
              <w:t>Fixed β = 1.0</w:t>
            </w:r>
          </w:p>
        </w:tc>
      </w:tr>
      <w:tr>
        <w:tc>
          <w:tcPr>
            <w:tcW w:type="dxa" w:w="2448"/>
            <w:vAlign w:val="center"/>
          </w:tcPr>
          <w:p>
            <w:pPr>
              <w:spacing w:after="0"/>
            </w:pPr>
            <w:r/>
            <w:r>
              <w:rPr>
                <w:rFonts w:ascii="Times New Roman" w:hAnsi="Times New Roman"/>
                <w:b w:val="0"/>
                <w:sz w:val="18"/>
              </w:rPr>
              <w:t>Fixed β = 0.5</w:t>
            </w:r>
          </w:p>
        </w:tc>
        <w:tc>
          <w:tcPr>
            <w:tcW w:type="dxa" w:w="6912"/>
            <w:vAlign w:val="center"/>
          </w:tcPr>
          <w:p>
            <w:pPr>
              <w:spacing w:after="0"/>
            </w:pPr>
            <w:r/>
            <w:r>
              <w:rPr>
                <w:rFonts w:ascii="Times New Roman" w:hAnsi="Times New Roman"/>
                <w:b w:val="0"/>
                <w:sz w:val="18"/>
              </w:rPr>
              <w:t>Constant β = 0.5</w:t>
            </w:r>
          </w:p>
        </w:tc>
      </w:tr>
      <w:tr>
        <w:tc>
          <w:tcPr>
            <w:tcW w:type="dxa" w:w="2448"/>
            <w:vAlign w:val="center"/>
          </w:tcPr>
          <w:p>
            <w:pPr>
              <w:spacing w:after="0"/>
            </w:pPr>
            <w:r/>
            <w:r>
              <w:rPr>
                <w:rFonts w:ascii="Times New Roman" w:hAnsi="Times New Roman"/>
                <w:b w:val="0"/>
                <w:sz w:val="18"/>
              </w:rPr>
              <w:t>Fixed β = 2.0</w:t>
            </w:r>
          </w:p>
        </w:tc>
        <w:tc>
          <w:tcPr>
            <w:tcW w:type="dxa" w:w="6912"/>
            <w:vAlign w:val="center"/>
          </w:tcPr>
          <w:p>
            <w:pPr>
              <w:spacing w:after="0"/>
            </w:pPr>
            <w:r/>
            <w:r>
              <w:rPr>
                <w:rFonts w:ascii="Times New Roman" w:hAnsi="Times New Roman"/>
                <w:b w:val="0"/>
                <w:sz w:val="18"/>
              </w:rPr>
              <w:t>Constant β = 2.0</w:t>
            </w:r>
          </w:p>
        </w:tc>
      </w:tr>
      <w:tr>
        <w:tc>
          <w:tcPr>
            <w:tcW w:type="dxa" w:w="2448"/>
            <w:vAlign w:val="center"/>
          </w:tcPr>
          <w:p>
            <w:pPr>
              <w:spacing w:after="0"/>
            </w:pPr>
            <w:r/>
            <w:r>
              <w:rPr>
                <w:rFonts w:ascii="Times New Roman" w:hAnsi="Times New Roman"/>
                <w:b w:val="0"/>
                <w:sz w:val="18"/>
              </w:rPr>
              <w:t>Fixed β = 4.0</w:t>
            </w:r>
          </w:p>
        </w:tc>
        <w:tc>
          <w:tcPr>
            <w:tcW w:type="dxa" w:w="6912"/>
            <w:vAlign w:val="center"/>
          </w:tcPr>
          <w:p>
            <w:pPr>
              <w:spacing w:after="0"/>
            </w:pPr>
            <w:r/>
            <w:r>
              <w:rPr>
                <w:rFonts w:ascii="Times New Roman" w:hAnsi="Times New Roman"/>
                <w:b w:val="0"/>
                <w:sz w:val="18"/>
              </w:rPr>
              <w:t>Constant β = 4.0</w:t>
            </w:r>
          </w:p>
        </w:tc>
      </w:tr>
      <w:tr>
        <w:tc>
          <w:tcPr>
            <w:tcW w:type="dxa" w:w="2448"/>
            <w:vAlign w:val="center"/>
          </w:tcPr>
          <w:p>
            <w:pPr>
              <w:spacing w:after="0"/>
            </w:pPr>
            <w:r/>
            <w:r>
              <w:rPr>
                <w:rFonts w:ascii="Times New Roman" w:hAnsi="Times New Roman"/>
                <w:b w:val="0"/>
                <w:sz w:val="18"/>
              </w:rPr>
              <w:t>KL warm-up</w:t>
            </w:r>
          </w:p>
        </w:tc>
        <w:tc>
          <w:tcPr>
            <w:tcW w:type="dxa" w:w="6912"/>
            <w:vAlign w:val="center"/>
          </w:tcPr>
          <w:p>
            <w:pPr>
              <w:spacing w:after="0"/>
            </w:pPr>
            <w:r/>
            <w:r>
              <w:rPr>
                <w:rFonts w:ascii="Times New Roman" w:hAnsi="Times New Roman"/>
                <w:b w:val="0"/>
                <w:sz w:val="18"/>
              </w:rPr>
              <w:t>β increases from 0.1 to 1.0 during the first 10 epochs</w:t>
            </w:r>
          </w:p>
        </w:tc>
      </w:tr>
      <w:tr>
        <w:tc>
          <w:tcPr>
            <w:tcW w:type="dxa" w:w="2448"/>
            <w:vAlign w:val="center"/>
          </w:tcPr>
          <w:p>
            <w:pPr>
              <w:spacing w:after="0"/>
            </w:pPr>
            <w:r/>
            <w:r>
              <w:rPr>
                <w:rFonts w:ascii="Times New Roman" w:hAnsi="Times New Roman"/>
                <w:b w:val="0"/>
                <w:sz w:val="18"/>
              </w:rPr>
              <w:t>Adaptive β</w:t>
            </w:r>
          </w:p>
        </w:tc>
        <w:tc>
          <w:tcPr>
            <w:tcW w:type="dxa" w:w="6912"/>
            <w:vAlign w:val="center"/>
          </w:tcPr>
          <w:p>
            <w:pPr>
              <w:spacing w:after="0"/>
            </w:pPr>
            <w:r/>
            <w:r>
              <w:rPr>
                <w:rFonts w:ascii="Times New Roman" w:hAnsi="Times New Roman"/>
                <w:b w:val="0"/>
                <w:sz w:val="18"/>
              </w:rPr>
              <w:t>Warm-up followed by validation-guided adjustment, bounded between 0.1 and 2.0</w:t>
            </w:r>
          </w:p>
        </w:tc>
      </w:tr>
    </w:tbl>
    <w:p/>
    <w:p>
      <w:r>
        <w:t>The adaptive strategy was configured to adjust β in steps of 0.1 when validation reconstruction changes crossed a 1% threshold for two consecutive epochs. In the saved history, β remained at 1.0 after the warm-up phase, meaning that no subsequent adjustment was triggered.</w:t>
      </w:r>
    </w:p>
    <w:p>
      <w:pPr>
        <w:pStyle w:val="Heading2"/>
      </w:pPr>
      <w:r>
        <w:t>3.4 Evaluation procedure</w:t>
      </w:r>
    </w:p>
    <w:p>
      <w:r>
        <w:t>Validation metrics were recalculated for the available best checkpoints using deterministic reconstructions obtained by decoding the encoder mean. The reported reconstruction metric is the binary cross-entropy term; KL divergence is reported separately. The KL warm-up row uses a saved runtime snapshot whose metrics match the recorded epoch-30 history; the epoch attribution is inferred from this metric match because the snapshot metadata does not independently record the epoch.</w:t>
      </w:r>
    </w:p>
    <w:p>
      <w:pPr>
        <w:pStyle w:val="Heading1"/>
      </w:pPr>
      <w:r>
        <w:t>4. Results</w:t>
      </w:r>
    </w:p>
    <w:p>
      <w:pPr>
        <w:pStyle w:val="Heading2"/>
      </w:pPr>
      <w:r>
        <w:t>4.1 Reconciled validation comparison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520"/>
            <w:vAlign w:val="center"/>
            <w:shd w:fill="D9EAF7"/>
          </w:tcPr>
          <w:p>
            <w:pPr>
              <w:spacing w:after="0"/>
            </w:pPr>
            <w:r/>
            <w:r>
              <w:rPr>
                <w:rFonts w:ascii="Times New Roman" w:hAnsi="Times New Roman"/>
                <w:b/>
                <w:sz w:val="18"/>
              </w:rPr>
              <w:t>Experiment</w:t>
            </w:r>
          </w:p>
        </w:tc>
        <w:tc>
          <w:tcPr>
            <w:tcW w:type="dxa" w:w="792"/>
            <w:vAlign w:val="center"/>
            <w:shd w:fill="D9EAF7"/>
          </w:tcPr>
          <w:p>
            <w:pPr>
              <w:spacing w:after="0"/>
            </w:pPr>
            <w:r/>
            <w:r>
              <w:rPr>
                <w:rFonts w:ascii="Times New Roman" w:hAnsi="Times New Roman"/>
                <w:b/>
                <w:sz w:val="18"/>
              </w:rPr>
              <w:t>Epoch</w:t>
            </w:r>
          </w:p>
        </w:tc>
        <w:tc>
          <w:tcPr>
            <w:tcW w:type="dxa" w:w="648"/>
            <w:vAlign w:val="center"/>
            <w:shd w:fill="D9EAF7"/>
          </w:tcPr>
          <w:p>
            <w:pPr>
              <w:spacing w:after="0"/>
            </w:pPr>
            <w:r/>
            <w:r>
              <w:rPr>
                <w:rFonts w:ascii="Times New Roman" w:hAnsi="Times New Roman"/>
                <w:b/>
                <w:sz w:val="18"/>
              </w:rPr>
              <w:t>β</w:t>
            </w:r>
          </w:p>
        </w:tc>
        <w:tc>
          <w:tcPr>
            <w:tcW w:type="dxa" w:w="1440"/>
            <w:vAlign w:val="center"/>
            <w:shd w:fill="D9EAF7"/>
          </w:tcPr>
          <w:p>
            <w:pPr>
              <w:spacing w:after="0"/>
            </w:pPr>
            <w:r/>
            <w:r>
              <w:rPr>
                <w:rFonts w:ascii="Times New Roman" w:hAnsi="Times New Roman"/>
                <w:b/>
                <w:sz w:val="18"/>
              </w:rPr>
              <w:t>Validation loss</w:t>
            </w:r>
          </w:p>
        </w:tc>
        <w:tc>
          <w:tcPr>
            <w:tcW w:type="dxa" w:w="1440"/>
            <w:vAlign w:val="center"/>
            <w:shd w:fill="D9EAF7"/>
          </w:tcPr>
          <w:p>
            <w:pPr>
              <w:spacing w:after="0"/>
            </w:pPr>
            <w:r/>
            <w:r>
              <w:rPr>
                <w:rFonts w:ascii="Times New Roman" w:hAnsi="Times New Roman"/>
                <w:b/>
                <w:sz w:val="18"/>
              </w:rPr>
              <w:t>Reconstruction</w:t>
            </w:r>
          </w:p>
        </w:tc>
        <w:tc>
          <w:tcPr>
            <w:tcW w:type="dxa" w:w="1368"/>
            <w:vAlign w:val="center"/>
            <w:shd w:fill="D9EAF7"/>
          </w:tcPr>
          <w:p>
            <w:pPr>
              <w:spacing w:after="0"/>
            </w:pPr>
            <w:r/>
            <w:r>
              <w:rPr>
                <w:rFonts w:ascii="Times New Roman" w:hAnsi="Times New Roman"/>
                <w:b/>
                <w:sz w:val="18"/>
              </w:rPr>
              <w:t>KL divergence</w:t>
            </w:r>
          </w:p>
        </w:tc>
      </w:tr>
      <w:tr>
        <w:tc>
          <w:tcPr>
            <w:tcW w:type="dxa" w:w="2520"/>
            <w:vAlign w:val="center"/>
          </w:tcPr>
          <w:p>
            <w:pPr>
              <w:spacing w:after="0"/>
            </w:pPr>
            <w:r/>
            <w:r>
              <w:rPr>
                <w:rFonts w:ascii="Times New Roman" w:hAnsi="Times New Roman"/>
                <w:b w:val="0"/>
                <w:sz w:val="18"/>
              </w:rPr>
              <w:t>Baseline</w:t>
            </w:r>
          </w:p>
        </w:tc>
        <w:tc>
          <w:tcPr>
            <w:tcW w:type="dxa" w:w="792"/>
            <w:vAlign w:val="center"/>
          </w:tcPr>
          <w:p>
            <w:pPr>
              <w:spacing w:after="0"/>
            </w:pPr>
            <w:r/>
            <w:r>
              <w:rPr>
                <w:rFonts w:ascii="Times New Roman" w:hAnsi="Times New Roman"/>
                <w:b w:val="0"/>
                <w:sz w:val="18"/>
              </w:rPr>
              <w:t>27</w:t>
            </w:r>
          </w:p>
        </w:tc>
        <w:tc>
          <w:tcPr>
            <w:tcW w:type="dxa" w:w="648"/>
            <w:vAlign w:val="center"/>
          </w:tcPr>
          <w:p>
            <w:pPr>
              <w:spacing w:after="0"/>
            </w:pPr>
            <w:r/>
            <w:r>
              <w:rPr>
                <w:rFonts w:ascii="Times New Roman" w:hAnsi="Times New Roman"/>
                <w:b w:val="0"/>
                <w:sz w:val="18"/>
              </w:rPr>
              <w:t>1.0</w:t>
            </w:r>
          </w:p>
        </w:tc>
        <w:tc>
          <w:tcPr>
            <w:tcW w:type="dxa" w:w="1440"/>
            <w:vAlign w:val="center"/>
          </w:tcPr>
          <w:p>
            <w:pPr>
              <w:spacing w:after="0"/>
            </w:pPr>
            <w:r/>
            <w:r>
              <w:rPr>
                <w:rFonts w:ascii="Times New Roman" w:hAnsi="Times New Roman"/>
                <w:b w:val="0"/>
                <w:sz w:val="18"/>
              </w:rPr>
              <w:t>234.5415</w:t>
            </w:r>
          </w:p>
        </w:tc>
        <w:tc>
          <w:tcPr>
            <w:tcW w:type="dxa" w:w="1440"/>
            <w:vAlign w:val="center"/>
          </w:tcPr>
          <w:p>
            <w:pPr>
              <w:spacing w:after="0"/>
            </w:pPr>
            <w:r/>
            <w:r>
              <w:rPr>
                <w:rFonts w:ascii="Times New Roman" w:hAnsi="Times New Roman"/>
                <w:b w:val="0"/>
                <w:sz w:val="18"/>
              </w:rPr>
              <w:t>221.2267</w:t>
            </w:r>
          </w:p>
        </w:tc>
        <w:tc>
          <w:tcPr>
            <w:tcW w:type="dxa" w:w="1368"/>
            <w:vAlign w:val="center"/>
          </w:tcPr>
          <w:p>
            <w:pPr>
              <w:spacing w:after="0"/>
            </w:pPr>
            <w:r/>
            <w:r>
              <w:rPr>
                <w:rFonts w:ascii="Times New Roman" w:hAnsi="Times New Roman"/>
                <w:b w:val="0"/>
                <w:sz w:val="18"/>
              </w:rPr>
              <w:t>13.3148</w:t>
            </w:r>
          </w:p>
        </w:tc>
      </w:tr>
      <w:tr>
        <w:tc>
          <w:tcPr>
            <w:tcW w:type="dxa" w:w="2520"/>
            <w:vAlign w:val="center"/>
          </w:tcPr>
          <w:p>
            <w:pPr>
              <w:spacing w:after="0"/>
            </w:pPr>
            <w:r/>
            <w:r>
              <w:rPr>
                <w:rFonts w:ascii="Times New Roman" w:hAnsi="Times New Roman"/>
                <w:b w:val="0"/>
                <w:sz w:val="18"/>
              </w:rPr>
              <w:t>Fixed β = 0.5</w:t>
            </w:r>
          </w:p>
        </w:tc>
        <w:tc>
          <w:tcPr>
            <w:tcW w:type="dxa" w:w="792"/>
            <w:vAlign w:val="center"/>
          </w:tcPr>
          <w:p>
            <w:pPr>
              <w:spacing w:after="0"/>
            </w:pPr>
            <w:r/>
            <w:r>
              <w:rPr>
                <w:rFonts w:ascii="Times New Roman" w:hAnsi="Times New Roman"/>
                <w:b w:val="0"/>
                <w:sz w:val="18"/>
              </w:rPr>
              <w:t>29</w:t>
            </w:r>
          </w:p>
        </w:tc>
        <w:tc>
          <w:tcPr>
            <w:tcW w:type="dxa" w:w="648"/>
            <w:vAlign w:val="center"/>
          </w:tcPr>
          <w:p>
            <w:pPr>
              <w:spacing w:after="0"/>
            </w:pPr>
            <w:r/>
            <w:r>
              <w:rPr>
                <w:rFonts w:ascii="Times New Roman" w:hAnsi="Times New Roman"/>
                <w:b w:val="0"/>
                <w:sz w:val="18"/>
              </w:rPr>
              <w:t>0.5</w:t>
            </w:r>
          </w:p>
        </w:tc>
        <w:tc>
          <w:tcPr>
            <w:tcW w:type="dxa" w:w="1440"/>
            <w:vAlign w:val="center"/>
          </w:tcPr>
          <w:p>
            <w:pPr>
              <w:spacing w:after="0"/>
            </w:pPr>
            <w:r/>
            <w:r>
              <w:rPr>
                <w:rFonts w:ascii="Times New Roman" w:hAnsi="Times New Roman"/>
                <w:b w:val="0"/>
                <w:sz w:val="18"/>
              </w:rPr>
              <w:t>226.9140</w:t>
            </w:r>
          </w:p>
        </w:tc>
        <w:tc>
          <w:tcPr>
            <w:tcW w:type="dxa" w:w="1440"/>
            <w:vAlign w:val="center"/>
          </w:tcPr>
          <w:p>
            <w:pPr>
              <w:spacing w:after="0"/>
            </w:pPr>
            <w:r/>
            <w:r>
              <w:rPr>
                <w:rFonts w:ascii="Times New Roman" w:hAnsi="Times New Roman"/>
                <w:b w:val="0"/>
                <w:sz w:val="18"/>
              </w:rPr>
              <w:t>216.9110</w:t>
            </w:r>
          </w:p>
        </w:tc>
        <w:tc>
          <w:tcPr>
            <w:tcW w:type="dxa" w:w="1368"/>
            <w:vAlign w:val="center"/>
          </w:tcPr>
          <w:p>
            <w:pPr>
              <w:spacing w:after="0"/>
            </w:pPr>
            <w:r/>
            <w:r>
              <w:rPr>
                <w:rFonts w:ascii="Times New Roman" w:hAnsi="Times New Roman"/>
                <w:b w:val="0"/>
                <w:sz w:val="18"/>
              </w:rPr>
              <w:t>20.0060</w:t>
            </w:r>
          </w:p>
        </w:tc>
      </w:tr>
      <w:tr>
        <w:tc>
          <w:tcPr>
            <w:tcW w:type="dxa" w:w="2520"/>
            <w:vAlign w:val="center"/>
          </w:tcPr>
          <w:p>
            <w:pPr>
              <w:spacing w:after="0"/>
            </w:pPr>
            <w:r/>
            <w:r>
              <w:rPr>
                <w:rFonts w:ascii="Times New Roman" w:hAnsi="Times New Roman"/>
                <w:b w:val="0"/>
                <w:sz w:val="18"/>
              </w:rPr>
              <w:t>Fixed β = 2.0</w:t>
            </w:r>
          </w:p>
        </w:tc>
        <w:tc>
          <w:tcPr>
            <w:tcW w:type="dxa" w:w="792"/>
            <w:vAlign w:val="center"/>
          </w:tcPr>
          <w:p>
            <w:pPr>
              <w:spacing w:after="0"/>
            </w:pPr>
            <w:r/>
            <w:r>
              <w:rPr>
                <w:rFonts w:ascii="Times New Roman" w:hAnsi="Times New Roman"/>
                <w:b w:val="0"/>
                <w:sz w:val="18"/>
              </w:rPr>
              <w:t>26</w:t>
            </w:r>
          </w:p>
        </w:tc>
        <w:tc>
          <w:tcPr>
            <w:tcW w:type="dxa" w:w="648"/>
            <w:vAlign w:val="center"/>
          </w:tcPr>
          <w:p>
            <w:pPr>
              <w:spacing w:after="0"/>
            </w:pPr>
            <w:r/>
            <w:r>
              <w:rPr>
                <w:rFonts w:ascii="Times New Roman" w:hAnsi="Times New Roman"/>
                <w:b w:val="0"/>
                <w:sz w:val="18"/>
              </w:rPr>
              <w:t>2.0</w:t>
            </w:r>
          </w:p>
        </w:tc>
        <w:tc>
          <w:tcPr>
            <w:tcW w:type="dxa" w:w="1440"/>
            <w:vAlign w:val="center"/>
          </w:tcPr>
          <w:p>
            <w:pPr>
              <w:spacing w:after="0"/>
            </w:pPr>
            <w:r/>
            <w:r>
              <w:rPr>
                <w:rFonts w:ascii="Times New Roman" w:hAnsi="Times New Roman"/>
                <w:b w:val="0"/>
                <w:sz w:val="18"/>
              </w:rPr>
              <w:t>244.4315</w:t>
            </w:r>
          </w:p>
        </w:tc>
        <w:tc>
          <w:tcPr>
            <w:tcW w:type="dxa" w:w="1440"/>
            <w:vAlign w:val="center"/>
          </w:tcPr>
          <w:p>
            <w:pPr>
              <w:spacing w:after="0"/>
            </w:pPr>
            <w:r/>
            <w:r>
              <w:rPr>
                <w:rFonts w:ascii="Times New Roman" w:hAnsi="Times New Roman"/>
                <w:b w:val="0"/>
                <w:sz w:val="18"/>
              </w:rPr>
              <w:t>225.1748</w:t>
            </w:r>
          </w:p>
        </w:tc>
        <w:tc>
          <w:tcPr>
            <w:tcW w:type="dxa" w:w="1368"/>
            <w:vAlign w:val="center"/>
          </w:tcPr>
          <w:p>
            <w:pPr>
              <w:spacing w:after="0"/>
            </w:pPr>
            <w:r/>
            <w:r>
              <w:rPr>
                <w:rFonts w:ascii="Times New Roman" w:hAnsi="Times New Roman"/>
                <w:b w:val="0"/>
                <w:sz w:val="18"/>
              </w:rPr>
              <w:t>9.6284</w:t>
            </w:r>
          </w:p>
        </w:tc>
      </w:tr>
      <w:tr>
        <w:tc>
          <w:tcPr>
            <w:tcW w:type="dxa" w:w="2520"/>
            <w:vAlign w:val="center"/>
          </w:tcPr>
          <w:p>
            <w:pPr>
              <w:spacing w:after="0"/>
            </w:pPr>
            <w:r/>
            <w:r>
              <w:rPr>
                <w:rFonts w:ascii="Times New Roman" w:hAnsi="Times New Roman"/>
                <w:b w:val="0"/>
                <w:sz w:val="18"/>
              </w:rPr>
              <w:t>Fixed β = 4.0</w:t>
            </w:r>
          </w:p>
        </w:tc>
        <w:tc>
          <w:tcPr>
            <w:tcW w:type="dxa" w:w="792"/>
            <w:vAlign w:val="center"/>
          </w:tcPr>
          <w:p>
            <w:pPr>
              <w:spacing w:after="0"/>
            </w:pPr>
            <w:r/>
            <w:r>
              <w:rPr>
                <w:rFonts w:ascii="Times New Roman" w:hAnsi="Times New Roman"/>
                <w:b w:val="0"/>
                <w:sz w:val="18"/>
              </w:rPr>
              <w:t>29</w:t>
            </w:r>
          </w:p>
        </w:tc>
        <w:tc>
          <w:tcPr>
            <w:tcW w:type="dxa" w:w="648"/>
            <w:vAlign w:val="center"/>
          </w:tcPr>
          <w:p>
            <w:pPr>
              <w:spacing w:after="0"/>
            </w:pPr>
            <w:r/>
            <w:r>
              <w:rPr>
                <w:rFonts w:ascii="Times New Roman" w:hAnsi="Times New Roman"/>
                <w:b w:val="0"/>
                <w:sz w:val="18"/>
              </w:rPr>
              <w:t>4.0</w:t>
            </w:r>
          </w:p>
        </w:tc>
        <w:tc>
          <w:tcPr>
            <w:tcW w:type="dxa" w:w="1440"/>
            <w:vAlign w:val="center"/>
          </w:tcPr>
          <w:p>
            <w:pPr>
              <w:spacing w:after="0"/>
            </w:pPr>
            <w:r/>
            <w:r>
              <w:rPr>
                <w:rFonts w:ascii="Times New Roman" w:hAnsi="Times New Roman"/>
                <w:b w:val="0"/>
                <w:sz w:val="18"/>
              </w:rPr>
              <w:t>257.5221</w:t>
            </w:r>
          </w:p>
        </w:tc>
        <w:tc>
          <w:tcPr>
            <w:tcW w:type="dxa" w:w="1440"/>
            <w:vAlign w:val="center"/>
          </w:tcPr>
          <w:p>
            <w:pPr>
              <w:spacing w:after="0"/>
            </w:pPr>
            <w:r/>
            <w:r>
              <w:rPr>
                <w:rFonts w:ascii="Times New Roman" w:hAnsi="Times New Roman"/>
                <w:b w:val="0"/>
                <w:sz w:val="18"/>
              </w:rPr>
              <w:t>231.1169</w:t>
            </w:r>
          </w:p>
        </w:tc>
        <w:tc>
          <w:tcPr>
            <w:tcW w:type="dxa" w:w="1368"/>
            <w:vAlign w:val="center"/>
          </w:tcPr>
          <w:p>
            <w:pPr>
              <w:spacing w:after="0"/>
            </w:pPr>
            <w:r/>
            <w:r>
              <w:rPr>
                <w:rFonts w:ascii="Times New Roman" w:hAnsi="Times New Roman"/>
                <w:b w:val="0"/>
                <w:sz w:val="18"/>
              </w:rPr>
              <w:t>6.6013</w:t>
            </w:r>
          </w:p>
        </w:tc>
      </w:tr>
      <w:tr>
        <w:tc>
          <w:tcPr>
            <w:tcW w:type="dxa" w:w="2520"/>
            <w:vAlign w:val="center"/>
          </w:tcPr>
          <w:p>
            <w:pPr>
              <w:spacing w:after="0"/>
            </w:pPr>
            <w:r/>
            <w:r>
              <w:rPr>
                <w:rFonts w:ascii="Times New Roman" w:hAnsi="Times New Roman"/>
                <w:b w:val="0"/>
                <w:sz w:val="18"/>
              </w:rPr>
              <w:t>KL warm-up (final-epoch snapshot)</w:t>
            </w:r>
          </w:p>
        </w:tc>
        <w:tc>
          <w:tcPr>
            <w:tcW w:type="dxa" w:w="792"/>
            <w:vAlign w:val="center"/>
          </w:tcPr>
          <w:p>
            <w:pPr>
              <w:spacing w:after="0"/>
            </w:pPr>
            <w:r/>
            <w:r>
              <w:rPr>
                <w:rFonts w:ascii="Times New Roman" w:hAnsi="Times New Roman"/>
                <w:b w:val="0"/>
                <w:sz w:val="18"/>
              </w:rPr>
              <w:t>30*</w:t>
            </w:r>
          </w:p>
        </w:tc>
        <w:tc>
          <w:tcPr>
            <w:tcW w:type="dxa" w:w="648"/>
            <w:vAlign w:val="center"/>
          </w:tcPr>
          <w:p>
            <w:pPr>
              <w:spacing w:after="0"/>
            </w:pPr>
            <w:r/>
            <w:r>
              <w:rPr>
                <w:rFonts w:ascii="Times New Roman" w:hAnsi="Times New Roman"/>
                <w:b w:val="0"/>
                <w:sz w:val="18"/>
              </w:rPr>
              <w:t>1.0</w:t>
            </w:r>
          </w:p>
        </w:tc>
        <w:tc>
          <w:tcPr>
            <w:tcW w:type="dxa" w:w="1440"/>
            <w:vAlign w:val="center"/>
          </w:tcPr>
          <w:p>
            <w:pPr>
              <w:spacing w:after="0"/>
            </w:pPr>
            <w:r/>
            <w:r>
              <w:rPr>
                <w:rFonts w:ascii="Times New Roman" w:hAnsi="Times New Roman"/>
                <w:b w:val="0"/>
                <w:sz w:val="18"/>
              </w:rPr>
              <w:t>233.3278</w:t>
            </w:r>
          </w:p>
        </w:tc>
        <w:tc>
          <w:tcPr>
            <w:tcW w:type="dxa" w:w="1440"/>
            <w:vAlign w:val="center"/>
          </w:tcPr>
          <w:p>
            <w:pPr>
              <w:spacing w:after="0"/>
            </w:pPr>
            <w:r/>
            <w:r>
              <w:rPr>
                <w:rFonts w:ascii="Times New Roman" w:hAnsi="Times New Roman"/>
                <w:b w:val="0"/>
                <w:sz w:val="18"/>
              </w:rPr>
              <w:t>217.0877</w:t>
            </w:r>
          </w:p>
        </w:tc>
        <w:tc>
          <w:tcPr>
            <w:tcW w:type="dxa" w:w="1368"/>
            <w:vAlign w:val="center"/>
          </w:tcPr>
          <w:p>
            <w:pPr>
              <w:spacing w:after="0"/>
            </w:pPr>
            <w:r/>
            <w:r>
              <w:rPr>
                <w:rFonts w:ascii="Times New Roman" w:hAnsi="Times New Roman"/>
                <w:b w:val="0"/>
                <w:sz w:val="18"/>
              </w:rPr>
              <w:t>16.2400</w:t>
            </w:r>
          </w:p>
        </w:tc>
      </w:tr>
      <w:tr>
        <w:tc>
          <w:tcPr>
            <w:tcW w:type="dxa" w:w="2520"/>
            <w:vAlign w:val="center"/>
          </w:tcPr>
          <w:p>
            <w:pPr>
              <w:spacing w:after="0"/>
            </w:pPr>
            <w:r/>
            <w:r>
              <w:rPr>
                <w:rFonts w:ascii="Times New Roman" w:hAnsi="Times New Roman"/>
                <w:b w:val="0"/>
                <w:sz w:val="18"/>
              </w:rPr>
              <w:t>Adaptive β</w:t>
            </w:r>
          </w:p>
        </w:tc>
        <w:tc>
          <w:tcPr>
            <w:tcW w:type="dxa" w:w="792"/>
            <w:vAlign w:val="center"/>
          </w:tcPr>
          <w:p>
            <w:pPr>
              <w:spacing w:after="0"/>
            </w:pPr>
            <w:r/>
            <w:r>
              <w:rPr>
                <w:rFonts w:ascii="Times New Roman" w:hAnsi="Times New Roman"/>
                <w:b w:val="0"/>
                <w:sz w:val="18"/>
              </w:rPr>
              <w:t>29</w:t>
            </w:r>
          </w:p>
        </w:tc>
        <w:tc>
          <w:tcPr>
            <w:tcW w:type="dxa" w:w="648"/>
            <w:vAlign w:val="center"/>
          </w:tcPr>
          <w:p>
            <w:pPr>
              <w:spacing w:after="0"/>
            </w:pPr>
            <w:r/>
            <w:r>
              <w:rPr>
                <w:rFonts w:ascii="Times New Roman" w:hAnsi="Times New Roman"/>
                <w:b w:val="0"/>
                <w:sz w:val="18"/>
              </w:rPr>
              <w:t>1.0</w:t>
            </w:r>
          </w:p>
        </w:tc>
        <w:tc>
          <w:tcPr>
            <w:tcW w:type="dxa" w:w="1440"/>
            <w:vAlign w:val="center"/>
          </w:tcPr>
          <w:p>
            <w:pPr>
              <w:spacing w:after="0"/>
            </w:pPr>
            <w:r/>
            <w:r>
              <w:rPr>
                <w:rFonts w:ascii="Times New Roman" w:hAnsi="Times New Roman"/>
                <w:b w:val="0"/>
                <w:sz w:val="18"/>
              </w:rPr>
              <w:t>233.0805</w:t>
            </w:r>
          </w:p>
        </w:tc>
        <w:tc>
          <w:tcPr>
            <w:tcW w:type="dxa" w:w="1440"/>
            <w:vAlign w:val="center"/>
          </w:tcPr>
          <w:p>
            <w:pPr>
              <w:spacing w:after="0"/>
            </w:pPr>
            <w:r/>
            <w:r>
              <w:rPr>
                <w:rFonts w:ascii="Times New Roman" w:hAnsi="Times New Roman"/>
                <w:b w:val="0"/>
                <w:sz w:val="18"/>
              </w:rPr>
              <w:t>217.2489</w:t>
            </w:r>
          </w:p>
        </w:tc>
        <w:tc>
          <w:tcPr>
            <w:tcW w:type="dxa" w:w="1368"/>
            <w:vAlign w:val="center"/>
          </w:tcPr>
          <w:p>
            <w:pPr>
              <w:spacing w:after="0"/>
            </w:pPr>
            <w:r/>
            <w:r>
              <w:rPr>
                <w:rFonts w:ascii="Times New Roman" w:hAnsi="Times New Roman"/>
                <w:b w:val="0"/>
                <w:sz w:val="18"/>
              </w:rPr>
              <w:t>15.8316</w:t>
            </w:r>
          </w:p>
        </w:tc>
      </w:tr>
    </w:tbl>
    <w:p/>
    <w:p>
      <w:r>
        <w:t>Note: *The warm-up snapshot is attributed to epoch 30 based on its match with the saved epoch-30 validation metrics; the epoch is not directly recorded in the snapshot metadata. Validation loss is the weighted objective using the listed β. Since β differs between experiments, total validation loss should not be interpreted as a fully comparable single ranking across all rows.</w:t>
      </w:r>
    </w:p>
    <w:p>
      <w:pPr>
        <w:pStyle w:val="Heading2"/>
      </w:pPr>
      <w:r>
        <w:t>4.2 Main observations</w:t>
      </w:r>
    </w:p>
    <w:p>
      <w:pPr>
        <w:pStyle w:val="ListBullet"/>
        <w:spacing w:after="60"/>
      </w:pPr>
      <w:r>
        <w:t>Fixed β = 0.5 achieved the lowest reconstruction loss in this checkpoint comparison (216.9110), with a higher KL divergence (20.0060).</w:t>
      </w:r>
    </w:p>
    <w:p>
      <w:pPr>
        <w:pStyle w:val="ListBullet"/>
        <w:spacing w:after="60"/>
      </w:pPr>
      <w:r>
        <w:t>Fixed β = 4.0 achieved the lowest KL divergence (6.6013), but also the highest reconstruction loss (231.1169) among the compared checkpoints.</w:t>
      </w:r>
    </w:p>
    <w:p>
      <w:pPr>
        <w:pStyle w:val="ListBullet"/>
        <w:spacing w:after="60"/>
      </w:pPr>
      <w:r>
        <w:t>The baseline had reconstruction loss 221.2267 and KL divergence 13.3148.</w:t>
      </w:r>
    </w:p>
    <w:p>
      <w:pPr>
        <w:pStyle w:val="ListBullet"/>
        <w:spacing w:after="60"/>
      </w:pPr>
      <w:r>
        <w:t>The adaptive model achieved reconstruction loss 217.2489 and KL divergence 15.8316, close to the fixed β = 0.5 and warm-up results, but did not establish a clear overall advantage.</w:t>
      </w:r>
    </w:p>
    <w:p>
      <w:pPr>
        <w:pStyle w:val="ListBullet"/>
        <w:spacing w:after="60"/>
      </w:pPr>
      <w:r>
        <w:t>The results are consistent with a reconstruction–regularization trade-off as β changes.</w:t>
      </w:r>
    </w:p>
    <w:p>
      <w:pPr>
        <w:pStyle w:val="Heading2"/>
      </w:pPr>
      <w:r>
        <w:t>4.3 Latent-space diagnostics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088"/>
            <w:vAlign w:val="center"/>
            <w:shd w:fill="D9EAF7"/>
          </w:tcPr>
          <w:p>
            <w:pPr>
              <w:spacing w:after="0"/>
            </w:pPr>
            <w:r/>
            <w:r>
              <w:rPr>
                <w:rFonts w:ascii="Times New Roman" w:hAnsi="Times New Roman"/>
                <w:b/>
                <w:sz w:val="18"/>
              </w:rPr>
              <w:t>Experiment</w:t>
            </w:r>
          </w:p>
        </w:tc>
        <w:tc>
          <w:tcPr>
            <w:tcW w:type="dxa" w:w="1440"/>
            <w:vAlign w:val="center"/>
            <w:shd w:fill="D9EAF7"/>
          </w:tcPr>
          <w:p>
            <w:pPr>
              <w:spacing w:after="0"/>
            </w:pPr>
            <w:r/>
            <w:r>
              <w:rPr>
                <w:rFonts w:ascii="Times New Roman" w:hAnsi="Times New Roman"/>
                <w:b/>
                <w:sz w:val="18"/>
              </w:rPr>
              <w:t>Mean KL/image</w:t>
            </w:r>
          </w:p>
        </w:tc>
        <w:tc>
          <w:tcPr>
            <w:tcW w:type="dxa" w:w="1728"/>
            <w:vAlign w:val="center"/>
            <w:shd w:fill="D9EAF7"/>
          </w:tcPr>
          <w:p>
            <w:pPr>
              <w:spacing w:after="0"/>
            </w:pPr>
            <w:r/>
            <w:r>
              <w:rPr>
                <w:rFonts w:ascii="Times New Roman" w:hAnsi="Times New Roman"/>
                <w:b/>
                <w:sz w:val="18"/>
              </w:rPr>
              <w:t>Aggregate latent mean</w:t>
            </w:r>
          </w:p>
        </w:tc>
        <w:tc>
          <w:tcPr>
            <w:tcW w:type="dxa" w:w="1440"/>
            <w:vAlign w:val="center"/>
            <w:shd w:fill="D9EAF7"/>
          </w:tcPr>
          <w:p>
            <w:pPr>
              <w:spacing w:after="0"/>
            </w:pPr>
            <w:r/>
            <w:r>
              <w:rPr>
                <w:rFonts w:ascii="Times New Roman" w:hAnsi="Times New Roman"/>
                <w:b/>
                <w:sz w:val="18"/>
              </w:rPr>
              <w:t>Latent mean std</w:t>
            </w:r>
          </w:p>
        </w:tc>
        <w:tc>
          <w:tcPr>
            <w:tcW w:type="dxa" w:w="1872"/>
            <w:vAlign w:val="center"/>
            <w:shd w:fill="D9EAF7"/>
          </w:tcPr>
          <w:p>
            <w:pPr>
              <w:spacing w:after="0"/>
            </w:pPr>
            <w:r/>
            <w:r>
              <w:rPr>
                <w:rFonts w:ascii="Times New Roman" w:hAnsi="Times New Roman"/>
                <w:b/>
                <w:sz w:val="18"/>
              </w:rPr>
              <w:t>Mean posterior variance</w:t>
            </w:r>
          </w:p>
        </w:tc>
      </w:tr>
      <w:tr>
        <w:tc>
          <w:tcPr>
            <w:tcW w:type="dxa" w:w="2088"/>
            <w:vAlign w:val="center"/>
          </w:tcPr>
          <w:p>
            <w:pPr>
              <w:spacing w:after="0"/>
            </w:pPr>
            <w:r/>
            <w:r>
              <w:rPr>
                <w:rFonts w:ascii="Times New Roman" w:hAnsi="Times New Roman"/>
                <w:b w:val="0"/>
                <w:sz w:val="18"/>
              </w:rPr>
              <w:t>Baseline</w:t>
            </w:r>
          </w:p>
        </w:tc>
        <w:tc>
          <w:tcPr>
            <w:tcW w:type="dxa" w:w="1440"/>
            <w:vAlign w:val="center"/>
          </w:tcPr>
          <w:p>
            <w:pPr>
              <w:spacing w:after="0"/>
            </w:pPr>
            <w:r/>
            <w:r>
              <w:rPr>
                <w:rFonts w:ascii="Times New Roman" w:hAnsi="Times New Roman"/>
                <w:b w:val="0"/>
                <w:sz w:val="18"/>
              </w:rPr>
              <w:t>13.3148</w:t>
            </w:r>
          </w:p>
        </w:tc>
        <w:tc>
          <w:tcPr>
            <w:tcW w:type="dxa" w:w="1728"/>
            <w:vAlign w:val="center"/>
          </w:tcPr>
          <w:p>
            <w:pPr>
              <w:spacing w:after="0"/>
            </w:pPr>
            <w:r/>
            <w:r>
              <w:rPr>
                <w:rFonts w:ascii="Times New Roman" w:hAnsi="Times New Roman"/>
                <w:b w:val="0"/>
                <w:sz w:val="18"/>
              </w:rPr>
              <w:t>0.0020</w:t>
            </w:r>
          </w:p>
        </w:tc>
        <w:tc>
          <w:tcPr>
            <w:tcW w:type="dxa" w:w="1440"/>
            <w:vAlign w:val="center"/>
          </w:tcPr>
          <w:p>
            <w:pPr>
              <w:spacing w:after="0"/>
            </w:pPr>
            <w:r/>
            <w:r>
              <w:rPr>
                <w:rFonts w:ascii="Times New Roman" w:hAnsi="Times New Roman"/>
                <w:b w:val="0"/>
                <w:sz w:val="18"/>
              </w:rPr>
              <w:t>0.6756</w:t>
            </w:r>
          </w:p>
        </w:tc>
        <w:tc>
          <w:tcPr>
            <w:tcW w:type="dxa" w:w="1872"/>
            <w:vAlign w:val="center"/>
          </w:tcPr>
          <w:p>
            <w:pPr>
              <w:spacing w:after="0"/>
            </w:pPr>
            <w:r/>
            <w:r>
              <w:rPr>
                <w:rFonts w:ascii="Times New Roman" w:hAnsi="Times New Roman"/>
                <w:b w:val="0"/>
                <w:sz w:val="18"/>
              </w:rPr>
              <w:t>0.5421</w:t>
            </w:r>
          </w:p>
        </w:tc>
      </w:tr>
      <w:tr>
        <w:tc>
          <w:tcPr>
            <w:tcW w:type="dxa" w:w="2088"/>
            <w:vAlign w:val="center"/>
          </w:tcPr>
          <w:p>
            <w:pPr>
              <w:spacing w:after="0"/>
            </w:pPr>
            <w:r/>
            <w:r>
              <w:rPr>
                <w:rFonts w:ascii="Times New Roman" w:hAnsi="Times New Roman"/>
                <w:b w:val="0"/>
                <w:sz w:val="18"/>
              </w:rPr>
              <w:t>Fixed β = 0.5</w:t>
            </w:r>
          </w:p>
        </w:tc>
        <w:tc>
          <w:tcPr>
            <w:tcW w:type="dxa" w:w="1440"/>
            <w:vAlign w:val="center"/>
          </w:tcPr>
          <w:p>
            <w:pPr>
              <w:spacing w:after="0"/>
            </w:pPr>
            <w:r/>
            <w:r>
              <w:rPr>
                <w:rFonts w:ascii="Times New Roman" w:hAnsi="Times New Roman"/>
                <w:b w:val="0"/>
                <w:sz w:val="18"/>
              </w:rPr>
              <w:t>20.0060</w:t>
            </w:r>
          </w:p>
        </w:tc>
        <w:tc>
          <w:tcPr>
            <w:tcW w:type="dxa" w:w="1728"/>
            <w:vAlign w:val="center"/>
          </w:tcPr>
          <w:p>
            <w:pPr>
              <w:spacing w:after="0"/>
            </w:pPr>
            <w:r/>
            <w:r>
              <w:rPr>
                <w:rFonts w:ascii="Times New Roman" w:hAnsi="Times New Roman"/>
                <w:b w:val="0"/>
                <w:sz w:val="18"/>
              </w:rPr>
              <w:t>0.0037</w:t>
            </w:r>
          </w:p>
        </w:tc>
        <w:tc>
          <w:tcPr>
            <w:tcW w:type="dxa" w:w="1440"/>
            <w:vAlign w:val="center"/>
          </w:tcPr>
          <w:p>
            <w:pPr>
              <w:spacing w:after="0"/>
            </w:pPr>
            <w:r/>
            <w:r>
              <w:rPr>
                <w:rFonts w:ascii="Times New Roman" w:hAnsi="Times New Roman"/>
                <w:b w:val="0"/>
                <w:sz w:val="18"/>
              </w:rPr>
              <w:t>0.7777</w:t>
            </w:r>
          </w:p>
        </w:tc>
        <w:tc>
          <w:tcPr>
            <w:tcW w:type="dxa" w:w="1872"/>
            <w:vAlign w:val="center"/>
          </w:tcPr>
          <w:p>
            <w:pPr>
              <w:spacing w:after="0"/>
            </w:pPr>
            <w:r/>
            <w:r>
              <w:rPr>
                <w:rFonts w:ascii="Times New Roman" w:hAnsi="Times New Roman"/>
                <w:b w:val="0"/>
                <w:sz w:val="18"/>
              </w:rPr>
              <w:t>0.3899</w:t>
            </w:r>
          </w:p>
        </w:tc>
      </w:tr>
      <w:tr>
        <w:tc>
          <w:tcPr>
            <w:tcW w:type="dxa" w:w="2088"/>
            <w:vAlign w:val="center"/>
          </w:tcPr>
          <w:p>
            <w:pPr>
              <w:spacing w:after="0"/>
            </w:pPr>
            <w:r/>
            <w:r>
              <w:rPr>
                <w:rFonts w:ascii="Times New Roman" w:hAnsi="Times New Roman"/>
                <w:b w:val="0"/>
                <w:sz w:val="18"/>
              </w:rPr>
              <w:t>Fixed β = 2.0</w:t>
            </w:r>
          </w:p>
        </w:tc>
        <w:tc>
          <w:tcPr>
            <w:tcW w:type="dxa" w:w="1440"/>
            <w:vAlign w:val="center"/>
          </w:tcPr>
          <w:p>
            <w:pPr>
              <w:spacing w:after="0"/>
            </w:pPr>
            <w:r/>
            <w:r>
              <w:rPr>
                <w:rFonts w:ascii="Times New Roman" w:hAnsi="Times New Roman"/>
                <w:b w:val="0"/>
                <w:sz w:val="18"/>
              </w:rPr>
              <w:t>9.6284</w:t>
            </w:r>
          </w:p>
        </w:tc>
        <w:tc>
          <w:tcPr>
            <w:tcW w:type="dxa" w:w="1728"/>
            <w:vAlign w:val="center"/>
          </w:tcPr>
          <w:p>
            <w:pPr>
              <w:spacing w:after="0"/>
            </w:pPr>
            <w:r/>
            <w:r>
              <w:rPr>
                <w:rFonts w:ascii="Times New Roman" w:hAnsi="Times New Roman"/>
                <w:b w:val="0"/>
                <w:sz w:val="18"/>
              </w:rPr>
              <w:t>-0.0022</w:t>
            </w:r>
          </w:p>
        </w:tc>
        <w:tc>
          <w:tcPr>
            <w:tcW w:type="dxa" w:w="1440"/>
            <w:vAlign w:val="center"/>
          </w:tcPr>
          <w:p>
            <w:pPr>
              <w:spacing w:after="0"/>
            </w:pPr>
            <w:r/>
            <w:r>
              <w:rPr>
                <w:rFonts w:ascii="Times New Roman" w:hAnsi="Times New Roman"/>
                <w:b w:val="0"/>
                <w:sz w:val="18"/>
              </w:rPr>
              <w:t>0.5922</w:t>
            </w:r>
          </w:p>
        </w:tc>
        <w:tc>
          <w:tcPr>
            <w:tcW w:type="dxa" w:w="1872"/>
            <w:vAlign w:val="center"/>
          </w:tcPr>
          <w:p>
            <w:pPr>
              <w:spacing w:after="0"/>
            </w:pPr>
            <w:r/>
            <w:r>
              <w:rPr>
                <w:rFonts w:ascii="Times New Roman" w:hAnsi="Times New Roman"/>
                <w:b w:val="0"/>
                <w:sz w:val="18"/>
              </w:rPr>
              <w:t>0.6525</w:t>
            </w:r>
          </w:p>
        </w:tc>
      </w:tr>
      <w:tr>
        <w:tc>
          <w:tcPr>
            <w:tcW w:type="dxa" w:w="2088"/>
            <w:vAlign w:val="center"/>
          </w:tcPr>
          <w:p>
            <w:pPr>
              <w:spacing w:after="0"/>
            </w:pPr>
            <w:r/>
            <w:r>
              <w:rPr>
                <w:rFonts w:ascii="Times New Roman" w:hAnsi="Times New Roman"/>
                <w:b w:val="0"/>
                <w:sz w:val="18"/>
              </w:rPr>
              <w:t>Fixed β = 4.0</w:t>
            </w:r>
          </w:p>
        </w:tc>
        <w:tc>
          <w:tcPr>
            <w:tcW w:type="dxa" w:w="1440"/>
            <w:vAlign w:val="center"/>
          </w:tcPr>
          <w:p>
            <w:pPr>
              <w:spacing w:after="0"/>
            </w:pPr>
            <w:r/>
            <w:r>
              <w:rPr>
                <w:rFonts w:ascii="Times New Roman" w:hAnsi="Times New Roman"/>
                <w:b w:val="0"/>
                <w:sz w:val="18"/>
              </w:rPr>
              <w:t>6.6013</w:t>
            </w:r>
          </w:p>
        </w:tc>
        <w:tc>
          <w:tcPr>
            <w:tcW w:type="dxa" w:w="1728"/>
            <w:vAlign w:val="center"/>
          </w:tcPr>
          <w:p>
            <w:pPr>
              <w:spacing w:after="0"/>
            </w:pPr>
            <w:r/>
            <w:r>
              <w:rPr>
                <w:rFonts w:ascii="Times New Roman" w:hAnsi="Times New Roman"/>
                <w:b w:val="0"/>
                <w:sz w:val="18"/>
              </w:rPr>
              <w:t>0.0036</w:t>
            </w:r>
          </w:p>
        </w:tc>
        <w:tc>
          <w:tcPr>
            <w:tcW w:type="dxa" w:w="1440"/>
            <w:vAlign w:val="center"/>
          </w:tcPr>
          <w:p>
            <w:pPr>
              <w:spacing w:after="0"/>
            </w:pPr>
            <w:r/>
            <w:r>
              <w:rPr>
                <w:rFonts w:ascii="Times New Roman" w:hAnsi="Times New Roman"/>
                <w:b w:val="0"/>
                <w:sz w:val="18"/>
              </w:rPr>
              <w:t>0.5270</w:t>
            </w:r>
          </w:p>
        </w:tc>
        <w:tc>
          <w:tcPr>
            <w:tcW w:type="dxa" w:w="1872"/>
            <w:vAlign w:val="center"/>
          </w:tcPr>
          <w:p>
            <w:pPr>
              <w:spacing w:after="0"/>
            </w:pPr>
            <w:r/>
            <w:r>
              <w:rPr>
                <w:rFonts w:ascii="Times New Roman" w:hAnsi="Times New Roman"/>
                <w:b w:val="0"/>
                <w:sz w:val="18"/>
              </w:rPr>
              <w:t>0.7148</w:t>
            </w:r>
          </w:p>
        </w:tc>
      </w:tr>
      <w:tr>
        <w:tc>
          <w:tcPr>
            <w:tcW w:type="dxa" w:w="2088"/>
            <w:vAlign w:val="center"/>
          </w:tcPr>
          <w:p>
            <w:pPr>
              <w:spacing w:after="0"/>
            </w:pPr>
            <w:r/>
            <w:r>
              <w:rPr>
                <w:rFonts w:ascii="Times New Roman" w:hAnsi="Times New Roman"/>
                <w:b w:val="0"/>
                <w:sz w:val="18"/>
              </w:rPr>
              <w:t>KL warm-up</w:t>
            </w:r>
          </w:p>
        </w:tc>
        <w:tc>
          <w:tcPr>
            <w:tcW w:type="dxa" w:w="1440"/>
            <w:vAlign w:val="center"/>
          </w:tcPr>
          <w:p>
            <w:pPr>
              <w:spacing w:after="0"/>
            </w:pPr>
            <w:r/>
            <w:r>
              <w:rPr>
                <w:rFonts w:ascii="Times New Roman" w:hAnsi="Times New Roman"/>
                <w:b w:val="0"/>
                <w:sz w:val="18"/>
              </w:rPr>
              <w:t>16.2400</w:t>
            </w:r>
          </w:p>
        </w:tc>
        <w:tc>
          <w:tcPr>
            <w:tcW w:type="dxa" w:w="1728"/>
            <w:vAlign w:val="center"/>
          </w:tcPr>
          <w:p>
            <w:pPr>
              <w:spacing w:after="0"/>
            </w:pPr>
            <w:r/>
            <w:r>
              <w:rPr>
                <w:rFonts w:ascii="Times New Roman" w:hAnsi="Times New Roman"/>
                <w:b w:val="0"/>
                <w:sz w:val="18"/>
              </w:rPr>
              <w:t>0.0173</w:t>
            </w:r>
          </w:p>
        </w:tc>
        <w:tc>
          <w:tcPr>
            <w:tcW w:type="dxa" w:w="1440"/>
            <w:vAlign w:val="center"/>
          </w:tcPr>
          <w:p>
            <w:pPr>
              <w:spacing w:after="0"/>
            </w:pPr>
            <w:r/>
            <w:r>
              <w:rPr>
                <w:rFonts w:ascii="Times New Roman" w:hAnsi="Times New Roman"/>
                <w:b w:val="0"/>
                <w:sz w:val="18"/>
              </w:rPr>
              <w:t>0.8208</w:t>
            </w:r>
          </w:p>
        </w:tc>
        <w:tc>
          <w:tcPr>
            <w:tcW w:type="dxa" w:w="1872"/>
            <w:vAlign w:val="center"/>
          </w:tcPr>
          <w:p>
            <w:pPr>
              <w:spacing w:after="0"/>
            </w:pPr>
            <w:r/>
            <w:r>
              <w:rPr>
                <w:rFonts w:ascii="Times New Roman" w:hAnsi="Times New Roman"/>
                <w:b w:val="0"/>
                <w:sz w:val="18"/>
              </w:rPr>
              <w:t>0.3352</w:t>
            </w:r>
          </w:p>
        </w:tc>
      </w:tr>
      <w:tr>
        <w:tc>
          <w:tcPr>
            <w:tcW w:type="dxa" w:w="2088"/>
            <w:vAlign w:val="center"/>
          </w:tcPr>
          <w:p>
            <w:pPr>
              <w:spacing w:after="0"/>
            </w:pPr>
            <w:r/>
            <w:r>
              <w:rPr>
                <w:rFonts w:ascii="Times New Roman" w:hAnsi="Times New Roman"/>
                <w:b w:val="0"/>
                <w:sz w:val="18"/>
              </w:rPr>
              <w:t>Adaptive β</w:t>
            </w:r>
          </w:p>
        </w:tc>
        <w:tc>
          <w:tcPr>
            <w:tcW w:type="dxa" w:w="1440"/>
            <w:vAlign w:val="center"/>
          </w:tcPr>
          <w:p>
            <w:pPr>
              <w:spacing w:after="0"/>
            </w:pPr>
            <w:r/>
            <w:r>
              <w:rPr>
                <w:rFonts w:ascii="Times New Roman" w:hAnsi="Times New Roman"/>
                <w:b w:val="0"/>
                <w:sz w:val="18"/>
              </w:rPr>
              <w:t>15.8316</w:t>
            </w:r>
          </w:p>
        </w:tc>
        <w:tc>
          <w:tcPr>
            <w:tcW w:type="dxa" w:w="1728"/>
            <w:vAlign w:val="center"/>
          </w:tcPr>
          <w:p>
            <w:pPr>
              <w:spacing w:after="0"/>
            </w:pPr>
            <w:r/>
            <w:r>
              <w:rPr>
                <w:rFonts w:ascii="Times New Roman" w:hAnsi="Times New Roman"/>
                <w:b w:val="0"/>
                <w:sz w:val="18"/>
              </w:rPr>
              <w:t>-0.0159</w:t>
            </w:r>
          </w:p>
        </w:tc>
        <w:tc>
          <w:tcPr>
            <w:tcW w:type="dxa" w:w="1440"/>
            <w:vAlign w:val="center"/>
          </w:tcPr>
          <w:p>
            <w:pPr>
              <w:spacing w:after="0"/>
            </w:pPr>
            <w:r/>
            <w:r>
              <w:rPr>
                <w:rFonts w:ascii="Times New Roman" w:hAnsi="Times New Roman"/>
                <w:b w:val="0"/>
                <w:sz w:val="18"/>
              </w:rPr>
              <w:t>0.8029</w:t>
            </w:r>
          </w:p>
        </w:tc>
        <w:tc>
          <w:tcPr>
            <w:tcW w:type="dxa" w:w="1872"/>
            <w:vAlign w:val="center"/>
          </w:tcPr>
          <w:p>
            <w:pPr>
              <w:spacing w:after="0"/>
            </w:pPr>
            <w:r/>
            <w:r>
              <w:rPr>
                <w:rFonts w:ascii="Times New Roman" w:hAnsi="Times New Roman"/>
                <w:b w:val="0"/>
                <w:sz w:val="18"/>
              </w:rPr>
              <w:t>0.3683</w:t>
            </w:r>
          </w:p>
        </w:tc>
      </w:tr>
    </w:tbl>
    <w:p/>
    <w:p>
      <w:r>
        <w:t>These metrics provide basic diagnostics of the encoded latent distributions. They do not, by themselves, prove that the aggregate posterior matches the prior or that generated images are semantically diverse. More complete analysis could include per-dimension statistics, prior-sample quality, and repeated runs.</w:t>
      </w:r>
    </w:p>
    <w:p>
      <w:pPr>
        <w:pStyle w:val="Heading2"/>
      </w:pPr>
      <w:r>
        <w:t>4.4 Exploratory generated-image diversity</w:t>
      </w:r>
    </w:p>
    <w:p>
      <w:r>
        <w:t>Previously recorded measurements used 500 random latent vectors per model, decoded the samples, flattened the images, and calculated the mean pairwise Euclidean distance in pixel space. The measurements below were preserved from the existing results record; they were not independently reproduced after the runtime reset and are not stored as a separate dedicated diversity-results file.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rFonts w:ascii="Times New Roman" w:hAnsi="Times New Roman"/>
                <w:b/>
                <w:sz w:val="18"/>
              </w:rPr>
              <w:t>Experiment</w:t>
            </w:r>
          </w:p>
        </w:tc>
        <w:tc>
          <w:tcPr>
            <w:tcW w:type="dxa" w:w="2448"/>
            <w:vAlign w:val="center"/>
            <w:shd w:fill="D9EAF7"/>
          </w:tcPr>
          <w:p>
            <w:pPr>
              <w:spacing w:after="0"/>
            </w:pPr>
            <w:r/>
            <w:r>
              <w:rPr>
                <w:rFonts w:ascii="Times New Roman" w:hAnsi="Times New Roman"/>
                <w:b/>
                <w:sz w:val="18"/>
              </w:rPr>
              <w:t>Mean pairwise pixel distance</w:t>
            </w:r>
          </w:p>
        </w:tc>
        <w:tc>
          <w:tcPr>
            <w:tcW w:type="dxa" w:w="1440"/>
            <w:vAlign w:val="center"/>
            <w:shd w:fill="D9EAF7"/>
          </w:tcPr>
          <w:p>
            <w:pPr>
              <w:spacing w:after="0"/>
            </w:pPr>
            <w:r/>
            <w:r>
              <w:rPr>
                <w:rFonts w:ascii="Times New Roman" w:hAnsi="Times New Roman"/>
                <w:b/>
                <w:sz w:val="18"/>
              </w:rPr>
              <w:t>Distance std</w:t>
            </w:r>
          </w:p>
        </w:tc>
        <w:tc>
          <w:tcPr>
            <w:tcW w:type="dxa" w:w="1872"/>
            <w:vAlign w:val="center"/>
            <w:shd w:fill="D9EAF7"/>
          </w:tcPr>
          <w:p>
            <w:pPr>
              <w:spacing w:after="0"/>
            </w:pPr>
            <w:r/>
            <w:r>
              <w:rPr>
                <w:rFonts w:ascii="Times New Roman" w:hAnsi="Times New Roman"/>
                <w:b/>
                <w:sz w:val="18"/>
              </w:rPr>
              <w:t>Mean pixel intensity</w:t>
            </w:r>
          </w:p>
        </w:tc>
      </w:tr>
      <w:tr>
        <w:tc>
          <w:tcPr>
            <w:tcW w:type="dxa" w:w="2448"/>
            <w:vAlign w:val="center"/>
          </w:tcPr>
          <w:p>
            <w:pPr>
              <w:spacing w:after="0"/>
            </w:pPr>
            <w:r/>
            <w:r>
              <w:rPr>
                <w:rFonts w:ascii="Times New Roman" w:hAnsi="Times New Roman"/>
                <w:b w:val="0"/>
                <w:sz w:val="18"/>
              </w:rPr>
              <w:t>Baseline</w:t>
            </w:r>
          </w:p>
        </w:tc>
        <w:tc>
          <w:tcPr>
            <w:tcW w:type="dxa" w:w="2448"/>
            <w:vAlign w:val="center"/>
          </w:tcPr>
          <w:p>
            <w:pPr>
              <w:spacing w:after="0"/>
            </w:pPr>
            <w:r/>
            <w:r>
              <w:rPr>
                <w:rFonts w:ascii="Times New Roman" w:hAnsi="Times New Roman"/>
                <w:b w:val="0"/>
                <w:sz w:val="18"/>
              </w:rPr>
              <w:t>9.5188</w:t>
            </w:r>
          </w:p>
        </w:tc>
        <w:tc>
          <w:tcPr>
            <w:tcW w:type="dxa" w:w="1440"/>
            <w:vAlign w:val="center"/>
          </w:tcPr>
          <w:p>
            <w:pPr>
              <w:spacing w:after="0"/>
            </w:pPr>
            <w:r/>
            <w:r>
              <w:rPr>
                <w:rFonts w:ascii="Times New Roman" w:hAnsi="Times New Roman"/>
                <w:b w:val="0"/>
                <w:sz w:val="18"/>
              </w:rPr>
              <w:t>3.0082</w:t>
            </w:r>
          </w:p>
        </w:tc>
        <w:tc>
          <w:tcPr>
            <w:tcW w:type="dxa" w:w="1872"/>
            <w:vAlign w:val="center"/>
          </w:tcPr>
          <w:p>
            <w:pPr>
              <w:spacing w:after="0"/>
            </w:pPr>
            <w:r/>
            <w:r>
              <w:rPr>
                <w:rFonts w:ascii="Times New Roman" w:hAnsi="Times New Roman"/>
                <w:b w:val="0"/>
                <w:sz w:val="18"/>
              </w:rPr>
              <w:t>0.2683</w:t>
            </w:r>
          </w:p>
        </w:tc>
      </w:tr>
      <w:tr>
        <w:tc>
          <w:tcPr>
            <w:tcW w:type="dxa" w:w="2448"/>
            <w:vAlign w:val="center"/>
          </w:tcPr>
          <w:p>
            <w:pPr>
              <w:spacing w:after="0"/>
            </w:pPr>
            <w:r/>
            <w:r>
              <w:rPr>
                <w:rFonts w:ascii="Times New Roman" w:hAnsi="Times New Roman"/>
                <w:b w:val="0"/>
                <w:sz w:val="18"/>
              </w:rPr>
              <w:t>Fixed β = 0.5</w:t>
            </w:r>
          </w:p>
        </w:tc>
        <w:tc>
          <w:tcPr>
            <w:tcW w:type="dxa" w:w="2448"/>
            <w:vAlign w:val="center"/>
          </w:tcPr>
          <w:p>
            <w:pPr>
              <w:spacing w:after="0"/>
            </w:pPr>
            <w:r/>
            <w:r>
              <w:rPr>
                <w:rFonts w:ascii="Times New Roman" w:hAnsi="Times New Roman"/>
                <w:b w:val="0"/>
                <w:sz w:val="18"/>
              </w:rPr>
              <w:t>9.4551</w:t>
            </w:r>
          </w:p>
        </w:tc>
        <w:tc>
          <w:tcPr>
            <w:tcW w:type="dxa" w:w="1440"/>
            <w:vAlign w:val="center"/>
          </w:tcPr>
          <w:p>
            <w:pPr>
              <w:spacing w:after="0"/>
            </w:pPr>
            <w:r/>
            <w:r>
              <w:rPr>
                <w:rFonts w:ascii="Times New Roman" w:hAnsi="Times New Roman"/>
                <w:b w:val="0"/>
                <w:sz w:val="18"/>
              </w:rPr>
              <w:t>2.7888</w:t>
            </w:r>
          </w:p>
        </w:tc>
        <w:tc>
          <w:tcPr>
            <w:tcW w:type="dxa" w:w="1872"/>
            <w:vAlign w:val="center"/>
          </w:tcPr>
          <w:p>
            <w:pPr>
              <w:spacing w:after="0"/>
            </w:pPr>
            <w:r/>
            <w:r>
              <w:rPr>
                <w:rFonts w:ascii="Times New Roman" w:hAnsi="Times New Roman"/>
                <w:b w:val="0"/>
                <w:sz w:val="18"/>
              </w:rPr>
              <w:t>0.2668</w:t>
            </w:r>
          </w:p>
        </w:tc>
      </w:tr>
      <w:tr>
        <w:tc>
          <w:tcPr>
            <w:tcW w:type="dxa" w:w="2448"/>
            <w:vAlign w:val="center"/>
          </w:tcPr>
          <w:p>
            <w:pPr>
              <w:spacing w:after="0"/>
            </w:pPr>
            <w:r/>
            <w:r>
              <w:rPr>
                <w:rFonts w:ascii="Times New Roman" w:hAnsi="Times New Roman"/>
                <w:b w:val="0"/>
                <w:sz w:val="18"/>
              </w:rPr>
              <w:t>Fixed β = 2.0</w:t>
            </w:r>
          </w:p>
        </w:tc>
        <w:tc>
          <w:tcPr>
            <w:tcW w:type="dxa" w:w="2448"/>
            <w:vAlign w:val="center"/>
          </w:tcPr>
          <w:p>
            <w:pPr>
              <w:spacing w:after="0"/>
            </w:pPr>
            <w:r/>
            <w:r>
              <w:rPr>
                <w:rFonts w:ascii="Times New Roman" w:hAnsi="Times New Roman"/>
                <w:b w:val="0"/>
                <w:sz w:val="18"/>
              </w:rPr>
              <w:t>9.5132</w:t>
            </w:r>
          </w:p>
        </w:tc>
        <w:tc>
          <w:tcPr>
            <w:tcW w:type="dxa" w:w="1440"/>
            <w:vAlign w:val="center"/>
          </w:tcPr>
          <w:p>
            <w:pPr>
              <w:spacing w:after="0"/>
            </w:pPr>
            <w:r/>
            <w:r>
              <w:rPr>
                <w:rFonts w:ascii="Times New Roman" w:hAnsi="Times New Roman"/>
                <w:b w:val="0"/>
                <w:sz w:val="18"/>
              </w:rPr>
              <w:t>3.1290</w:t>
            </w:r>
          </w:p>
        </w:tc>
        <w:tc>
          <w:tcPr>
            <w:tcW w:type="dxa" w:w="1872"/>
            <w:vAlign w:val="center"/>
          </w:tcPr>
          <w:p>
            <w:pPr>
              <w:spacing w:after="0"/>
            </w:pPr>
            <w:r/>
            <w:r>
              <w:rPr>
                <w:rFonts w:ascii="Times New Roman" w:hAnsi="Times New Roman"/>
                <w:b w:val="0"/>
                <w:sz w:val="18"/>
              </w:rPr>
              <w:t>0.2663</w:t>
            </w:r>
          </w:p>
        </w:tc>
      </w:tr>
      <w:tr>
        <w:tc>
          <w:tcPr>
            <w:tcW w:type="dxa" w:w="2448"/>
            <w:vAlign w:val="center"/>
          </w:tcPr>
          <w:p>
            <w:pPr>
              <w:spacing w:after="0"/>
            </w:pPr>
            <w:r/>
            <w:r>
              <w:rPr>
                <w:rFonts w:ascii="Times New Roman" w:hAnsi="Times New Roman"/>
                <w:b w:val="0"/>
                <w:sz w:val="18"/>
              </w:rPr>
              <w:t>Fixed β = 4.0</w:t>
            </w:r>
          </w:p>
        </w:tc>
        <w:tc>
          <w:tcPr>
            <w:tcW w:type="dxa" w:w="2448"/>
            <w:vAlign w:val="center"/>
          </w:tcPr>
          <w:p>
            <w:pPr>
              <w:spacing w:after="0"/>
            </w:pPr>
            <w:r/>
            <w:r>
              <w:rPr>
                <w:rFonts w:ascii="Times New Roman" w:hAnsi="Times New Roman"/>
                <w:b w:val="0"/>
                <w:sz w:val="18"/>
              </w:rPr>
              <w:t>9.4179</w:t>
            </w:r>
          </w:p>
        </w:tc>
        <w:tc>
          <w:tcPr>
            <w:tcW w:type="dxa" w:w="1440"/>
            <w:vAlign w:val="center"/>
          </w:tcPr>
          <w:p>
            <w:pPr>
              <w:spacing w:after="0"/>
            </w:pPr>
            <w:r/>
            <w:r>
              <w:rPr>
                <w:rFonts w:ascii="Times New Roman" w:hAnsi="Times New Roman"/>
                <w:b w:val="0"/>
                <w:sz w:val="18"/>
              </w:rPr>
              <w:t>3.1249</w:t>
            </w:r>
          </w:p>
        </w:tc>
        <w:tc>
          <w:tcPr>
            <w:tcW w:type="dxa" w:w="1872"/>
            <w:vAlign w:val="center"/>
          </w:tcPr>
          <w:p>
            <w:pPr>
              <w:spacing w:after="0"/>
            </w:pPr>
            <w:r/>
            <w:r>
              <w:rPr>
                <w:rFonts w:ascii="Times New Roman" w:hAnsi="Times New Roman"/>
                <w:b w:val="0"/>
                <w:sz w:val="18"/>
              </w:rPr>
              <w:t>0.2773</w:t>
            </w:r>
          </w:p>
        </w:tc>
      </w:tr>
      <w:tr>
        <w:tc>
          <w:tcPr>
            <w:tcW w:type="dxa" w:w="2448"/>
            <w:vAlign w:val="center"/>
          </w:tcPr>
          <w:p>
            <w:pPr>
              <w:spacing w:after="0"/>
            </w:pPr>
            <w:r/>
            <w:r>
              <w:rPr>
                <w:rFonts w:ascii="Times New Roman" w:hAnsi="Times New Roman"/>
                <w:b w:val="0"/>
                <w:sz w:val="18"/>
              </w:rPr>
              <w:t>KL warm-up</w:t>
            </w:r>
          </w:p>
        </w:tc>
        <w:tc>
          <w:tcPr>
            <w:tcW w:type="dxa" w:w="2448"/>
            <w:vAlign w:val="center"/>
          </w:tcPr>
          <w:p>
            <w:pPr>
              <w:spacing w:after="0"/>
            </w:pPr>
            <w:r/>
            <w:r>
              <w:rPr>
                <w:rFonts w:ascii="Times New Roman" w:hAnsi="Times New Roman"/>
                <w:b w:val="0"/>
                <w:sz w:val="18"/>
              </w:rPr>
              <w:t>9.3421</w:t>
            </w:r>
          </w:p>
        </w:tc>
        <w:tc>
          <w:tcPr>
            <w:tcW w:type="dxa" w:w="1440"/>
            <w:vAlign w:val="center"/>
          </w:tcPr>
          <w:p>
            <w:pPr>
              <w:spacing w:after="0"/>
            </w:pPr>
            <w:r/>
            <w:r>
              <w:rPr>
                <w:rFonts w:ascii="Times New Roman" w:hAnsi="Times New Roman"/>
                <w:b w:val="0"/>
                <w:sz w:val="18"/>
              </w:rPr>
              <w:t>2.8813</w:t>
            </w:r>
          </w:p>
        </w:tc>
        <w:tc>
          <w:tcPr>
            <w:tcW w:type="dxa" w:w="1872"/>
            <w:vAlign w:val="center"/>
          </w:tcPr>
          <w:p>
            <w:pPr>
              <w:spacing w:after="0"/>
            </w:pPr>
            <w:r/>
            <w:r>
              <w:rPr>
                <w:rFonts w:ascii="Times New Roman" w:hAnsi="Times New Roman"/>
                <w:b w:val="0"/>
                <w:sz w:val="18"/>
              </w:rPr>
              <w:t>0.2700</w:t>
            </w:r>
          </w:p>
        </w:tc>
      </w:tr>
      <w:tr>
        <w:tc>
          <w:tcPr>
            <w:tcW w:type="dxa" w:w="2448"/>
            <w:vAlign w:val="center"/>
          </w:tcPr>
          <w:p>
            <w:pPr>
              <w:spacing w:after="0"/>
            </w:pPr>
            <w:r/>
            <w:r>
              <w:rPr>
                <w:rFonts w:ascii="Times New Roman" w:hAnsi="Times New Roman"/>
                <w:b w:val="0"/>
                <w:sz w:val="18"/>
              </w:rPr>
              <w:t>Adaptive β</w:t>
            </w:r>
          </w:p>
        </w:tc>
        <w:tc>
          <w:tcPr>
            <w:tcW w:type="dxa" w:w="2448"/>
            <w:vAlign w:val="center"/>
          </w:tcPr>
          <w:p>
            <w:pPr>
              <w:spacing w:after="0"/>
            </w:pPr>
            <w:r/>
            <w:r>
              <w:rPr>
                <w:rFonts w:ascii="Times New Roman" w:hAnsi="Times New Roman"/>
                <w:b w:val="0"/>
                <w:sz w:val="18"/>
              </w:rPr>
              <w:t>9.4397</w:t>
            </w:r>
          </w:p>
        </w:tc>
        <w:tc>
          <w:tcPr>
            <w:tcW w:type="dxa" w:w="1440"/>
            <w:vAlign w:val="center"/>
          </w:tcPr>
          <w:p>
            <w:pPr>
              <w:spacing w:after="0"/>
            </w:pPr>
            <w:r/>
            <w:r>
              <w:rPr>
                <w:rFonts w:ascii="Times New Roman" w:hAnsi="Times New Roman"/>
                <w:b w:val="0"/>
                <w:sz w:val="18"/>
              </w:rPr>
              <w:t>2.8471</w:t>
            </w:r>
          </w:p>
        </w:tc>
        <w:tc>
          <w:tcPr>
            <w:tcW w:type="dxa" w:w="1872"/>
            <w:vAlign w:val="center"/>
          </w:tcPr>
          <w:p>
            <w:pPr>
              <w:spacing w:after="0"/>
            </w:pPr>
            <w:r/>
            <w:r>
              <w:rPr>
                <w:rFonts w:ascii="Times New Roman" w:hAnsi="Times New Roman"/>
                <w:b w:val="0"/>
                <w:sz w:val="18"/>
              </w:rPr>
              <w:t>0.2672</w:t>
            </w:r>
          </w:p>
        </w:tc>
      </w:tr>
    </w:tbl>
    <w:p/>
    <w:p>
      <w:r>
        <w:t>The values are close to one another and should be treated as exploratory. Pixel-space distance can respond to low-level brightness or pixel changes and is not a reliable measure of semantic clothing-style diversity. The values do not support a strong claim that one strategy produces more meaningful diversity than another.</w:t>
      </w:r>
    </w:p>
    <w:p>
      <w:pPr>
        <w:pStyle w:val="Heading2"/>
      </w:pPr>
      <w:r>
        <w:t>4.5 Saved baseline test result</w:t>
      </w:r>
    </w:p>
    <w:p>
      <w:r>
        <w:t>A saved baseline test-results JSON file reports test loss = 235.3118, reconstruction loss = 222.0716, and KL divergence = 13.2402 for the baseline checkpoint recorded at epoch 27. This result was not independently recalculated during the restored evaluation workflow. Comparable test metrics are not verified for all six experiments, and the available records do not establish whether the test set was fully excluded from all earlier model-selection decisions. Accordingly, this report does not use the baseline test result to claim comparative test-set superiority.</w:t>
      </w:r>
    </w:p>
    <w:p>
      <w:pPr>
        <w:pStyle w:val="Heading1"/>
      </w:pPr>
      <w:r>
        <w:t>5. Discussion</w:t>
      </w:r>
    </w:p>
    <w:p>
      <w:r>
        <w:t>The validation comparison shows that the choice of β changes the balance between reconstruction and KL regularization. The lower-β model prioritizes reconstruction more strongly and records a larger KL term, whereas the higher-β model records a smaller KL term and worse reconstruction. This is consistent with the intended role of β in the VAE objective.</w:t>
      </w:r>
    </w:p>
    <w:p>
      <w:r>
        <w:t>The main research hypothesis about the usefulness of validation-guided adaptive weighting is not confirmed by the current evidence. The adaptive model is competitive on reconstruction, but its β value remained at 1.0 after warm-up, and its metrics are close to those of the warm-up model. The experiment therefore does not demonstrate that adaptive adjustment improves on a well-chosen fixed weight.</w:t>
      </w:r>
    </w:p>
    <w:p>
      <w:r>
        <w:t>This is still a useful result: the experiments show why an adaptive method needs a clearly specified trigger, evidence that the trigger activates when intended, and repeated evaluation against strong baselines. A method should not be described as superior simply because it was proposed as the new approach.</w:t>
      </w:r>
    </w:p>
    <w:p>
      <w:pPr>
        <w:pStyle w:val="Heading1"/>
      </w:pPr>
      <w:r>
        <w:t>6. Limitations</w:t>
      </w:r>
    </w:p>
    <w:p>
      <w:pPr>
        <w:pStyle w:val="ListBullet"/>
        <w:spacing w:after="60"/>
      </w:pPr>
      <w:r>
        <w:t>The reported checkpoint comparison is primarily based on validation metrics; comparable test-set results for all six models are not available.</w:t>
      </w:r>
    </w:p>
    <w:p>
      <w:pPr>
        <w:pStyle w:val="ListBullet"/>
        <w:spacing w:after="60"/>
      </w:pPr>
      <w:r>
        <w:t>The warm-up final-epoch checkpoint's epoch attribution is inferred from matching metrics rather than explicit checkpoint metadata.</w:t>
      </w:r>
    </w:p>
    <w:p>
      <w:pPr>
        <w:pStyle w:val="ListBullet"/>
        <w:spacing w:after="60"/>
      </w:pPr>
      <w:r>
        <w:t>The diversity measurements are saved exploratory values and were not independently reproduced after the runtime reset.</w:t>
      </w:r>
    </w:p>
    <w:p>
      <w:pPr>
        <w:pStyle w:val="ListBullet"/>
        <w:spacing w:after="60"/>
      </w:pPr>
      <w:r>
        <w:t>Mean pairwise pixel distance is a weak proxy and does not measure semantic diversity or perceptual quality.</w:t>
      </w:r>
    </w:p>
    <w:p>
      <w:pPr>
        <w:pStyle w:val="ListBullet"/>
        <w:spacing w:after="60"/>
      </w:pPr>
      <w:r>
        <w:t>The available comparison does not include multiple independent training seeds, confidence intervals, or statistical significance tests.</w:t>
      </w:r>
    </w:p>
    <w:p>
      <w:pPr>
        <w:pStyle w:val="ListBullet"/>
        <w:spacing w:after="60"/>
      </w:pPr>
      <w:r>
        <w:t>The adaptive strategy did not change β after warm-up in the recorded run, so its adaptive behavior has not been meaningfully demonstrated.</w:t>
      </w:r>
    </w:p>
    <w:p>
      <w:pPr>
        <w:pStyle w:val="ListBullet"/>
        <w:spacing w:after="60"/>
      </w:pPr>
      <w:r>
        <w:t>The basic latent-space statistics do not constitute a complete test of aggregate posterior matching or latent-space regularity.</w:t>
      </w:r>
    </w:p>
    <w:p>
      <w:pPr>
        <w:pStyle w:val="ListBullet"/>
        <w:spacing w:after="60"/>
      </w:pPr>
      <w:r>
        <w:t>The available records do not establish whether the test set was completely isolated from earlier model-selection decisions.</w:t>
      </w:r>
    </w:p>
    <w:p>
      <w:pPr>
        <w:pStyle w:val="Heading1"/>
      </w:pPr>
      <w:r>
        <w:t>7. Conclusion</w:t>
      </w:r>
    </w:p>
    <w:p>
      <w:r>
        <w:t>LatentForge compared fixed-beta VAE training, conventional KL warm-up, and a validation-guided adaptive-beta strategy on Fashion-MNIST. The available validation results demonstrate a measurable reconstruction–KL trade-off: β = 0.5 achieved the lowest reconstruction loss in the checkpoint comparison, while β = 4.0 achieved the lowest KL divergence. The adaptive model was competitive but did not show a clear advantage, and the recorded schedule did not adjust β after warm-up. The generated-image diversity measurements are exploratory and do not support a strong semantic-diversity claim. The project therefore provides a useful experimental comparison and a clear basis for future work, but the central claim that validation-guided adaptation improves the overall trade-off remains unproven.</w:t>
      </w:r>
    </w:p>
    <w:p>
      <w:pPr>
        <w:pStyle w:val="Heading1"/>
      </w:pPr>
      <w:r>
        <w:t>8. Future work</w:t>
      </w:r>
    </w:p>
    <w:p>
      <w:pPr>
        <w:pStyle w:val="ListBullet"/>
        <w:spacing w:after="60"/>
      </w:pPr>
      <w:r>
        <w:t>Run each experiment with multiple random seeds and report mean and standard deviation.</w:t>
      </w:r>
    </w:p>
    <w:p>
      <w:pPr>
        <w:pStyle w:val="ListBullet"/>
        <w:spacing w:after="60"/>
      </w:pPr>
      <w:r>
        <w:t>Evaluate every selected model on the same held-out test protocol after model selection is finalized.</w:t>
      </w:r>
    </w:p>
    <w:p>
      <w:pPr>
        <w:pStyle w:val="ListBullet"/>
        <w:spacing w:after="60"/>
      </w:pPr>
      <w:r>
        <w:t>Save diversity metrics to a dedicated CSV and make the random seed and sample count explicit.</w:t>
      </w:r>
    </w:p>
    <w:p>
      <w:pPr>
        <w:pStyle w:val="ListBullet"/>
        <w:spacing w:after="60"/>
      </w:pPr>
      <w:r>
        <w:t>Add perceptual or feature-space diversity measures and inspect generated samples systematically.</w:t>
      </w:r>
    </w:p>
    <w:p>
      <w:pPr>
        <w:pStyle w:val="ListBullet"/>
        <w:spacing w:after="60"/>
      </w:pPr>
      <w:r>
        <w:t>Review the adaptive trigger and record β values and trigger events per epoch to confirm the intended behavior.</w:t>
      </w:r>
    </w:p>
    <w:p>
      <w:pPr>
        <w:pStyle w:val="ListBullet"/>
        <w:spacing w:after="60"/>
      </w:pPr>
      <w:r>
        <w:t>Compare models using clearly stated criteria rather than ranking total loss values that use different β weights.</w:t>
      </w:r>
    </w:p>
    <w:p>
      <w:pPr>
        <w:pStyle w:val="Heading1"/>
      </w:pPr>
      <w:r>
        <w:t>Appendix A. Reproducibility notes</w:t>
      </w:r>
    </w:p>
    <w:p>
      <w:r>
        <w:t>The recorded configuration uses Fashion-MNIST, latent_dim = 16, Adam with learning rate 0.001, batch size 128, a nominal 30-epoch training schedule, and a 54,000/6,000 train/validation split with seed 42. The saved checkpoint and results artifacts should be retained alongside the notebook. The reconciled validation comparison should be used instead of older comparison CSVs that may use a different KL warm-up checkpoint.</w:t>
      </w:r>
    </w:p>
    <w:p>
      <w:r>
        <w:t>Before public release, verify that the notebook runs from a fresh runtime, document the Python and library versions, remove machine-specific paths and personal tokens, and ensure all figures and CSV files referenced by the README are present in the repository.</w:t>
      </w:r>
    </w:p>
    <w:p>
      <w:pPr>
        <w:pStyle w:val="Heading1"/>
      </w:pPr>
      <w:r>
        <w:t>References</w:t>
      </w:r>
    </w:p>
    <w:p>
      <w:pPr>
        <w:ind w:left="360" w:hanging="360"/>
      </w:pPr>
      <w:r>
        <w:t>Kingma, D. P., &amp; Welling, M. (2014). Auto-Encoding Variational Bayes. International Conference on Learning Representations (ICLR).</w:t>
      </w:r>
    </w:p>
    <w:p>
      <w:pPr>
        <w:ind w:left="360" w:hanging="360"/>
      </w:pPr>
      <w:r>
        <w:t>Xiao, H., Rasul, K., &amp; Vollgraf, R. (2017). Fashion-MNIST: a Novel Image Dataset for Benchmarking Machine Learning Algorithms. arXiv:1708.07747.</w:t>
      </w:r>
    </w:p>
    <w:p>
      <w:pPr>
        <w:ind w:left="360" w:hanging="360"/>
      </w:pPr>
      <w:r>
        <w:t>Higgins, I., et al. (2017). beta-VAE: Learning Basic Visual Concepts with a Constrained Variational Framework. International Conference on Learning Representations (ICLR).</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LatentForge — Diversity-Aware Image Generation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LATENTFORGE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