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8609" w14:textId="77777777" w:rsidR="004076CC" w:rsidRPr="00E771FC" w:rsidRDefault="00000000">
      <w:pPr>
        <w:pStyle w:val="Title"/>
        <w:jc w:val="center"/>
        <w:rPr>
          <w:rFonts w:ascii="Times New Roman" w:hAnsi="Times New Roman" w:cs="Times New Roman"/>
          <w:color w:val="000000" w:themeColor="text1"/>
        </w:rPr>
      </w:pPr>
      <w:r w:rsidRPr="00E771FC">
        <w:rPr>
          <w:rFonts w:ascii="Times New Roman" w:hAnsi="Times New Roman" w:cs="Times New Roman"/>
          <w:color w:val="000000" w:themeColor="text1"/>
        </w:rPr>
        <w:t>XAI ICU Mortality Prediction System</w:t>
      </w:r>
    </w:p>
    <w:p w14:paraId="4505E441"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color w:val="000000" w:themeColor="text1"/>
        </w:rPr>
        <w:t>Comprehensive Technical Report with Graph Explanations</w:t>
      </w:r>
    </w:p>
    <w:p w14:paraId="0E127B6A" w14:textId="77777777" w:rsidR="004076CC" w:rsidRPr="00E771FC" w:rsidRDefault="004076CC">
      <w:pPr>
        <w:rPr>
          <w:rFonts w:ascii="Times New Roman" w:hAnsi="Times New Roman" w:cs="Times New Roman"/>
          <w:color w:val="000000" w:themeColor="text1"/>
        </w:rPr>
      </w:pPr>
    </w:p>
    <w:p w14:paraId="7615574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Generated: January 25, 2026</w:t>
      </w:r>
    </w:p>
    <w:p w14:paraId="2BC1A9A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Institution: IIIT Ranchi</w:t>
      </w:r>
    </w:p>
    <w:p w14:paraId="3F96B035" w14:textId="77777777" w:rsidR="004076CC" w:rsidRPr="00E771FC" w:rsidRDefault="004076CC">
      <w:pPr>
        <w:rPr>
          <w:rFonts w:ascii="Times New Roman" w:hAnsi="Times New Roman" w:cs="Times New Roman"/>
          <w:color w:val="000000" w:themeColor="text1"/>
        </w:rPr>
      </w:pPr>
    </w:p>
    <w:p w14:paraId="12F2A5BE" w14:textId="77777777" w:rsidR="004076CC" w:rsidRPr="00E771FC" w:rsidRDefault="00000000">
      <w:pPr>
        <w:pStyle w:val="Heading1"/>
        <w:rPr>
          <w:rFonts w:ascii="Times New Roman" w:hAnsi="Times New Roman" w:cs="Times New Roman"/>
          <w:color w:val="000000" w:themeColor="text1"/>
        </w:rPr>
      </w:pPr>
      <w:r w:rsidRPr="00E771FC">
        <w:rPr>
          <w:rFonts w:ascii="Times New Roman" w:hAnsi="Times New Roman" w:cs="Times New Roman"/>
          <w:color w:val="000000" w:themeColor="text1"/>
        </w:rPr>
        <w:t>1. Executive Summary</w:t>
      </w:r>
    </w:p>
    <w:p w14:paraId="01CD1E4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report presents the XAI ICU Mortality Prediction System, an explainable AI framework for predicting in-hospital mortality in ICU patients. The system combines state-of-the-art deep learning techniques with clinical safety guardrails and uncertainty quantification.</w:t>
      </w:r>
    </w:p>
    <w:p w14:paraId="5562C642" w14:textId="5D2992C7" w:rsidR="004076CC" w:rsidRPr="00E771FC" w:rsidRDefault="00000000" w:rsidP="00B67815">
      <w:pPr>
        <w:rPr>
          <w:rFonts w:ascii="Times New Roman" w:hAnsi="Times New Roman" w:cs="Times New Roman"/>
          <w:color w:val="000000" w:themeColor="text1"/>
        </w:rPr>
      </w:pPr>
      <w:r w:rsidRPr="00E771FC">
        <w:rPr>
          <w:rFonts w:ascii="Times New Roman" w:hAnsi="Times New Roman" w:cs="Times New Roman"/>
          <w:color w:val="000000" w:themeColor="text1"/>
        </w:rPr>
        <w:t>2. Dataset Description</w:t>
      </w:r>
    </w:p>
    <w:p w14:paraId="495CBDE0"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2.1 MIMIC-IV Overview</w:t>
      </w:r>
    </w:p>
    <w:p w14:paraId="05ED036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system is trained and validated on the MIMIC-IV (Medical Information Mart for Intensive Care) dataset, a large, freely-available database of de-identified health records from ICU patients at Beth Israel Deaconess Medical Center.</w:t>
      </w:r>
    </w:p>
    <w:p w14:paraId="70A9709E"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2.2 Cohort Statistics</w:t>
      </w:r>
    </w:p>
    <w:tbl>
      <w:tblPr>
        <w:tblStyle w:val="TableGrid"/>
        <w:tblW w:w="0" w:type="auto"/>
        <w:tblLook w:val="04A0" w:firstRow="1" w:lastRow="0" w:firstColumn="1" w:lastColumn="0" w:noHBand="0" w:noVBand="1"/>
      </w:tblPr>
      <w:tblGrid>
        <w:gridCol w:w="4320"/>
        <w:gridCol w:w="4320"/>
      </w:tblGrid>
      <w:tr w:rsidR="004076CC" w:rsidRPr="00E771FC" w14:paraId="57AA5DD1" w14:textId="77777777">
        <w:tc>
          <w:tcPr>
            <w:tcW w:w="4320" w:type="dxa"/>
          </w:tcPr>
          <w:p w14:paraId="2F525F8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Metric</w:t>
            </w:r>
          </w:p>
        </w:tc>
        <w:tc>
          <w:tcPr>
            <w:tcW w:w="4320" w:type="dxa"/>
          </w:tcPr>
          <w:p w14:paraId="06286B5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Value</w:t>
            </w:r>
          </w:p>
        </w:tc>
      </w:tr>
      <w:tr w:rsidR="004076CC" w:rsidRPr="00E771FC" w14:paraId="43095783" w14:textId="77777777">
        <w:tc>
          <w:tcPr>
            <w:tcW w:w="4320" w:type="dxa"/>
          </w:tcPr>
          <w:p w14:paraId="3DDDEEC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Total Patients</w:t>
            </w:r>
          </w:p>
        </w:tc>
        <w:tc>
          <w:tcPr>
            <w:tcW w:w="4320" w:type="dxa"/>
          </w:tcPr>
          <w:p w14:paraId="061DDF3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42,951</w:t>
            </w:r>
          </w:p>
        </w:tc>
      </w:tr>
      <w:tr w:rsidR="004076CC" w:rsidRPr="00E771FC" w14:paraId="24DA95F2" w14:textId="77777777">
        <w:tc>
          <w:tcPr>
            <w:tcW w:w="4320" w:type="dxa"/>
          </w:tcPr>
          <w:p w14:paraId="586F133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Total Admissions</w:t>
            </w:r>
          </w:p>
        </w:tc>
        <w:tc>
          <w:tcPr>
            <w:tcW w:w="4320" w:type="dxa"/>
          </w:tcPr>
          <w:p w14:paraId="3840B13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166,062</w:t>
            </w:r>
          </w:p>
        </w:tc>
      </w:tr>
      <w:tr w:rsidR="004076CC" w:rsidRPr="00E771FC" w14:paraId="544343DD" w14:textId="77777777">
        <w:tc>
          <w:tcPr>
            <w:tcW w:w="4320" w:type="dxa"/>
          </w:tcPr>
          <w:p w14:paraId="70B7230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In-Hospital Mortality Rate</w:t>
            </w:r>
          </w:p>
        </w:tc>
        <w:tc>
          <w:tcPr>
            <w:tcW w:w="4320" w:type="dxa"/>
          </w:tcPr>
          <w:p w14:paraId="3CC7B3A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4.3%</w:t>
            </w:r>
          </w:p>
        </w:tc>
      </w:tr>
      <w:tr w:rsidR="004076CC" w:rsidRPr="00E771FC" w14:paraId="4D78164C" w14:textId="77777777">
        <w:tc>
          <w:tcPr>
            <w:tcW w:w="4320" w:type="dxa"/>
          </w:tcPr>
          <w:p w14:paraId="338F525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Median Length of Stay</w:t>
            </w:r>
          </w:p>
        </w:tc>
        <w:tc>
          <w:tcPr>
            <w:tcW w:w="4320" w:type="dxa"/>
          </w:tcPr>
          <w:p w14:paraId="1C56EAB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4.2 days</w:t>
            </w:r>
          </w:p>
        </w:tc>
      </w:tr>
    </w:tbl>
    <w:p w14:paraId="722DF4B0"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2.3 Data Files</w:t>
      </w:r>
    </w:p>
    <w:tbl>
      <w:tblPr>
        <w:tblStyle w:val="TableGrid"/>
        <w:tblW w:w="0" w:type="auto"/>
        <w:tblLook w:val="04A0" w:firstRow="1" w:lastRow="0" w:firstColumn="1" w:lastColumn="0" w:noHBand="0" w:noVBand="1"/>
      </w:tblPr>
      <w:tblGrid>
        <w:gridCol w:w="2880"/>
        <w:gridCol w:w="2880"/>
        <w:gridCol w:w="2880"/>
      </w:tblGrid>
      <w:tr w:rsidR="004076CC" w:rsidRPr="00E771FC" w14:paraId="2DEF8ABF" w14:textId="77777777">
        <w:tc>
          <w:tcPr>
            <w:tcW w:w="2880" w:type="dxa"/>
          </w:tcPr>
          <w:p w14:paraId="6810F29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File</w:t>
            </w:r>
          </w:p>
        </w:tc>
        <w:tc>
          <w:tcPr>
            <w:tcW w:w="2880" w:type="dxa"/>
          </w:tcPr>
          <w:p w14:paraId="6D38091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Description</w:t>
            </w:r>
          </w:p>
        </w:tc>
        <w:tc>
          <w:tcPr>
            <w:tcW w:w="2880" w:type="dxa"/>
          </w:tcPr>
          <w:p w14:paraId="19C1769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Records</w:t>
            </w:r>
          </w:p>
        </w:tc>
      </w:tr>
      <w:tr w:rsidR="004076CC" w:rsidRPr="00E771FC" w14:paraId="585D5082" w14:textId="77777777">
        <w:tc>
          <w:tcPr>
            <w:tcW w:w="2880" w:type="dxa"/>
          </w:tcPr>
          <w:p w14:paraId="59AA9FF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admissions_100k.csv</w:t>
            </w:r>
          </w:p>
        </w:tc>
        <w:tc>
          <w:tcPr>
            <w:tcW w:w="2880" w:type="dxa"/>
          </w:tcPr>
          <w:p w14:paraId="01C6E99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Hospital admissions with mortality labels</w:t>
            </w:r>
          </w:p>
        </w:tc>
        <w:tc>
          <w:tcPr>
            <w:tcW w:w="2880" w:type="dxa"/>
          </w:tcPr>
          <w:p w14:paraId="46FC4E8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166,062</w:t>
            </w:r>
          </w:p>
        </w:tc>
      </w:tr>
      <w:tr w:rsidR="004076CC" w:rsidRPr="00E771FC" w14:paraId="2F358B92" w14:textId="77777777">
        <w:tc>
          <w:tcPr>
            <w:tcW w:w="2880" w:type="dxa"/>
          </w:tcPr>
          <w:p w14:paraId="0EE6764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icustays_100k.csv</w:t>
            </w:r>
          </w:p>
        </w:tc>
        <w:tc>
          <w:tcPr>
            <w:tcW w:w="2880" w:type="dxa"/>
          </w:tcPr>
          <w:p w14:paraId="3A55311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ICU stay records</w:t>
            </w:r>
          </w:p>
        </w:tc>
        <w:tc>
          <w:tcPr>
            <w:tcW w:w="2880" w:type="dxa"/>
          </w:tcPr>
          <w:p w14:paraId="7149971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~50,000</w:t>
            </w:r>
          </w:p>
        </w:tc>
      </w:tr>
      <w:tr w:rsidR="004076CC" w:rsidRPr="00E771FC" w14:paraId="6434B385" w14:textId="77777777">
        <w:tc>
          <w:tcPr>
            <w:tcW w:w="2880" w:type="dxa"/>
          </w:tcPr>
          <w:p w14:paraId="3438279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chartevents_100k.csv</w:t>
            </w:r>
          </w:p>
        </w:tc>
        <w:tc>
          <w:tcPr>
            <w:tcW w:w="2880" w:type="dxa"/>
          </w:tcPr>
          <w:p w14:paraId="6953DDF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Vital signs and lab values</w:t>
            </w:r>
          </w:p>
        </w:tc>
        <w:tc>
          <w:tcPr>
            <w:tcW w:w="2880" w:type="dxa"/>
          </w:tcPr>
          <w:p w14:paraId="51772E3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~800M</w:t>
            </w:r>
          </w:p>
        </w:tc>
      </w:tr>
      <w:tr w:rsidR="004076CC" w:rsidRPr="00E771FC" w14:paraId="6AF88AB3" w14:textId="77777777">
        <w:tc>
          <w:tcPr>
            <w:tcW w:w="2880" w:type="dxa"/>
          </w:tcPr>
          <w:p w14:paraId="54D7D05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prescriptions_100k.csv</w:t>
            </w:r>
          </w:p>
        </w:tc>
        <w:tc>
          <w:tcPr>
            <w:tcW w:w="2880" w:type="dxa"/>
          </w:tcPr>
          <w:p w14:paraId="7661012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Medication orders</w:t>
            </w:r>
          </w:p>
        </w:tc>
        <w:tc>
          <w:tcPr>
            <w:tcW w:w="2880" w:type="dxa"/>
          </w:tcPr>
          <w:p w14:paraId="0275598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10,538,716</w:t>
            </w:r>
          </w:p>
        </w:tc>
      </w:tr>
      <w:tr w:rsidR="004076CC" w:rsidRPr="00E771FC" w14:paraId="48E49026" w14:textId="77777777">
        <w:tc>
          <w:tcPr>
            <w:tcW w:w="2880" w:type="dxa"/>
          </w:tcPr>
          <w:p w14:paraId="5BEDDC2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drgcodes_100k.csv</w:t>
            </w:r>
          </w:p>
        </w:tc>
        <w:tc>
          <w:tcPr>
            <w:tcW w:w="2880" w:type="dxa"/>
          </w:tcPr>
          <w:p w14:paraId="4F22CC8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Diagnosis-related groups</w:t>
            </w:r>
          </w:p>
        </w:tc>
        <w:tc>
          <w:tcPr>
            <w:tcW w:w="2880" w:type="dxa"/>
          </w:tcPr>
          <w:p w14:paraId="050C6DF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~200,000</w:t>
            </w:r>
          </w:p>
        </w:tc>
      </w:tr>
    </w:tbl>
    <w:p w14:paraId="037AEAB5" w14:textId="77777777" w:rsidR="004076CC" w:rsidRPr="00E771FC" w:rsidRDefault="004076CC">
      <w:pPr>
        <w:rPr>
          <w:rFonts w:ascii="Times New Roman" w:hAnsi="Times New Roman" w:cs="Times New Roman"/>
          <w:color w:val="000000" w:themeColor="text1"/>
        </w:rPr>
      </w:pPr>
    </w:p>
    <w:p w14:paraId="1D8AE09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br w:type="page"/>
      </w:r>
    </w:p>
    <w:p w14:paraId="73D7F672" w14:textId="77777777" w:rsidR="004076CC" w:rsidRPr="00E771FC" w:rsidRDefault="00000000">
      <w:pPr>
        <w:pStyle w:val="Heading1"/>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3. Exploratory Data Analysis</w:t>
      </w:r>
    </w:p>
    <w:p w14:paraId="3F166694"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3.1 EDA Summary Dashboard</w:t>
      </w:r>
    </w:p>
    <w:p w14:paraId="596A1CA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0E819602" wp14:editId="1C647450">
            <wp:extent cx="5486400" cy="3777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dashboard.png"/>
                    <pic:cNvPicPr/>
                  </pic:nvPicPr>
                  <pic:blipFill>
                    <a:blip r:embed="rId6"/>
                    <a:stretch>
                      <a:fillRect/>
                    </a:stretch>
                  </pic:blipFill>
                  <pic:spPr>
                    <a:xfrm>
                      <a:off x="0" y="0"/>
                      <a:ext cx="5486400" cy="3777420"/>
                    </a:xfrm>
                    <a:prstGeom prst="rect">
                      <a:avLst/>
                    </a:prstGeom>
                  </pic:spPr>
                </pic:pic>
              </a:graphicData>
            </a:graphic>
          </wp:inline>
        </w:drawing>
      </w:r>
    </w:p>
    <w:p w14:paraId="56D9E0D3"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1: EDA Summary Dashboard</w:t>
      </w:r>
    </w:p>
    <w:p w14:paraId="7F92D44B" w14:textId="77777777" w:rsidR="004076CC" w:rsidRPr="00E771FC" w:rsidRDefault="004076CC">
      <w:pPr>
        <w:rPr>
          <w:rFonts w:ascii="Times New Roman" w:hAnsi="Times New Roman" w:cs="Times New Roman"/>
          <w:color w:val="000000" w:themeColor="text1"/>
        </w:rPr>
      </w:pPr>
    </w:p>
    <w:p w14:paraId="3EE732B0"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342983DD" w14:textId="2DF4C761" w:rsidR="004076C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dashboard provides a comprehensive overview of the MIMIC-IV dataset:</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Summary Statistics Box (Top-Left): Shows the key dataset metrics - 42,951 patients, 166,062 admissions, 4.3% mortality rate, 795,956 chart records, and 10,538,716 prescriptions. The median time gap (Δt) between observations is 0.0 minutes with a mean of 2.9 minutes.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Mortality Distribution Pie Chart (Top-Center): Visualizes the class imbalance - 95.7% of patients survived while only 4.3% died. This severe imbalance necessitates using AUPRC (Area Under Precision-Recall Curve) instead of accuracy for model evaluation.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Data Volume by Table Bar Chart (Top-Right): Shows record counts per table on a logarithmic scale. Prescriptions and chart events dominate, while patients table is smallest.</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xml:space="preserve">• Time Gap Distribution Histogram (Bottom-Left): Shows how frequently observations are recorded. The sharp peak at 0 indicates many observations occur simultaneously (batch entries). </w:t>
      </w:r>
      <w:r w:rsidRPr="00E771FC">
        <w:rPr>
          <w:rFonts w:ascii="Times New Roman" w:hAnsi="Times New Roman" w:cs="Times New Roman"/>
          <w:color w:val="000000" w:themeColor="text1"/>
        </w:rPr>
        <w:lastRenderedPageBreak/>
        <w:t>The long tail shows some gaps extend to 120+ minutes.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Patient Coverage Bar Chart (Bottom-Center): Compares total patients, those with admissions, and those with ICU stays. Shows high coverage of admission data.</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Clinical AI Implications (Bottom-Right): Lists key takeaways - irregular time gaps support Liquid Neural Network, rich vital signs enable trajectory modeling, medication data supports safety layer rules, and class imbalance requires careful metric selection.</w:t>
      </w:r>
    </w:p>
    <w:p w14:paraId="4799C06A" w14:textId="77777777" w:rsidR="00455EF1" w:rsidRPr="00E771FC" w:rsidRDefault="00455EF1">
      <w:pPr>
        <w:rPr>
          <w:rFonts w:ascii="Times New Roman" w:hAnsi="Times New Roman" w:cs="Times New Roman"/>
          <w:color w:val="000000" w:themeColor="text1"/>
        </w:rPr>
      </w:pPr>
    </w:p>
    <w:p w14:paraId="37B47773"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3.2 Cohort Analysis</w:t>
      </w:r>
    </w:p>
    <w:p w14:paraId="2157392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54CEF3A2" wp14:editId="22656E23">
            <wp:extent cx="5029200" cy="377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analysis.png"/>
                    <pic:cNvPicPr/>
                  </pic:nvPicPr>
                  <pic:blipFill>
                    <a:blip r:embed="rId7"/>
                    <a:stretch>
                      <a:fillRect/>
                    </a:stretch>
                  </pic:blipFill>
                  <pic:spPr>
                    <a:xfrm>
                      <a:off x="0" y="0"/>
                      <a:ext cx="5029200" cy="3775080"/>
                    </a:xfrm>
                    <a:prstGeom prst="rect">
                      <a:avLst/>
                    </a:prstGeom>
                  </pic:spPr>
                </pic:pic>
              </a:graphicData>
            </a:graphic>
          </wp:inline>
        </w:drawing>
      </w:r>
    </w:p>
    <w:p w14:paraId="2A38D78D"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2: Cohort Demographics</w:t>
      </w:r>
    </w:p>
    <w:p w14:paraId="61B20726" w14:textId="77777777" w:rsidR="004076CC" w:rsidRPr="00E771FC" w:rsidRDefault="004076CC">
      <w:pPr>
        <w:rPr>
          <w:rFonts w:ascii="Times New Roman" w:hAnsi="Times New Roman" w:cs="Times New Roman"/>
          <w:color w:val="000000" w:themeColor="text1"/>
        </w:rPr>
      </w:pPr>
    </w:p>
    <w:p w14:paraId="05C92F39"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12255F3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4-panel figure analyzes patient demographics: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Patient Age Distribution (Top-Left): Histogram showing ages 18-90+. The median age is 66 years (marked with red dashed line). The distribution is roughly normal with a slight right skew, indicating more elderly patients in the ICU.</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xml:space="preserve">• Gender Distribution (Top-Right): Pie chart showing 58.5% male (M) and 41.5% female (F) </w:t>
      </w:r>
      <w:r w:rsidRPr="00E771FC">
        <w:rPr>
          <w:rFonts w:ascii="Times New Roman" w:hAnsi="Times New Roman" w:cs="Times New Roman"/>
          <w:color w:val="000000" w:themeColor="text1"/>
        </w:rPr>
        <w:lastRenderedPageBreak/>
        <w:t>patients. This male predominance is typical in ICU populations.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Hospital LOS Distribution (Bottom-Left): Length of stay histogram showing median of 4.2 days. The distribution is heavily right-skewed - most stays are short (2-5 days) but some extend to 20+ days. Only the 95th percentile is shown to avoid extreme outliers.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In-Hospital Mortality (Bottom-Right): Pie chart showing 95.7% survived vs 4.3% deceased. This is the target variable for our prediction model.</w:t>
      </w:r>
    </w:p>
    <w:p w14:paraId="3EC1D190"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Code Behind This Graph:</w:t>
      </w:r>
    </w:p>
    <w:p w14:paraId="2C91575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This function processes admission data to create demographic visualizations:</w:t>
      </w:r>
    </w:p>
    <w:p w14:paraId="4D0182CB"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3.3 Vital Signs Analysis</w:t>
      </w:r>
    </w:p>
    <w:p w14:paraId="4E0387C0"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283EF7DA" wp14:editId="12B73672">
            <wp:extent cx="5029200" cy="3586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ls_analysis.png"/>
                    <pic:cNvPicPr/>
                  </pic:nvPicPr>
                  <pic:blipFill>
                    <a:blip r:embed="rId8"/>
                    <a:stretch>
                      <a:fillRect/>
                    </a:stretch>
                  </pic:blipFill>
                  <pic:spPr>
                    <a:xfrm>
                      <a:off x="0" y="0"/>
                      <a:ext cx="5029200" cy="3586417"/>
                    </a:xfrm>
                    <a:prstGeom prst="rect">
                      <a:avLst/>
                    </a:prstGeom>
                  </pic:spPr>
                </pic:pic>
              </a:graphicData>
            </a:graphic>
          </wp:inline>
        </w:drawing>
      </w:r>
    </w:p>
    <w:p w14:paraId="787BC110"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3: Vital Signs Analysis</w:t>
      </w:r>
    </w:p>
    <w:p w14:paraId="3EAA8DBB" w14:textId="77777777" w:rsidR="004076CC" w:rsidRPr="00E771FC" w:rsidRDefault="004076CC">
      <w:pPr>
        <w:rPr>
          <w:rFonts w:ascii="Times New Roman" w:hAnsi="Times New Roman" w:cs="Times New Roman"/>
          <w:color w:val="000000" w:themeColor="text1"/>
        </w:rPr>
      </w:pPr>
    </w:p>
    <w:p w14:paraId="300C0FC8"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59C6451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4-panel figure analyzes clinical measurements: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Chart Measurements per Patient (Top-Left): Histogram showing number of chart events per patient. Median is 1,466 measurements. Distribution is right-skewed with some patients having 12,000+ measurements (long ICU stays). Most patients have 1,000-4,000 measurements.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xml:space="preserve">• Top 15 Chart Item Types (Top-Right): Horizontal bar chart showing most common vital signs. </w:t>
      </w:r>
      <w:r w:rsidRPr="00E771FC">
        <w:rPr>
          <w:rFonts w:ascii="Times New Roman" w:hAnsi="Times New Roman" w:cs="Times New Roman"/>
          <w:color w:val="000000" w:themeColor="text1"/>
        </w:rPr>
        <w:lastRenderedPageBreak/>
        <w:t>Heart Rate (~38,000 records) and Respiratory Rate are most frequent, followed by SpO2, Systolic/Diastolic BP. GCS (Glasgow Coma Scale) components appear in the top 15. Temperature is less frequent as it's measured less often.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Heart Rate Distribution (Bottom-Left): Histogram of HR values with median 87 bpm (blue dashed line). Distribution is approximately normal with range 25-200 bpm. Red bars highlight the physiological range while outliers indicate arrhythmias or measurement errors.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SpO2 Distribution (Bottom-Right): Histogram of oxygen saturation with median 97%. Distribution is left-skewed - most values are high (96-100%) but some patients show dangerous desaturation (&lt;90%). The sharp cutoff at 100% is the natural maximum.</w:t>
      </w:r>
    </w:p>
    <w:p w14:paraId="2646410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Clinical Insight: The high frequency of Heart Rate and SpO2 measurements (every few minutes) vs. Temperature (every few hours) creates the irregular time gaps that justify our Liquid Neural Network architecture with adaptive time constants.</w:t>
      </w:r>
    </w:p>
    <w:p w14:paraId="05D7B136" w14:textId="14821CC6" w:rsidR="004076CC" w:rsidRPr="00B67815" w:rsidRDefault="00000000" w:rsidP="00B67815">
      <w:pPr>
        <w:rPr>
          <w:rFonts w:ascii="Times New Roman" w:hAnsi="Times New Roman" w:cs="Times New Roman"/>
          <w:b/>
          <w:bCs/>
          <w:color w:val="000000" w:themeColor="text1"/>
          <w:sz w:val="28"/>
          <w:szCs w:val="28"/>
        </w:rPr>
      </w:pPr>
      <w:r w:rsidRPr="00B67815">
        <w:rPr>
          <w:rFonts w:ascii="Times New Roman" w:hAnsi="Times New Roman" w:cs="Times New Roman"/>
          <w:b/>
          <w:bCs/>
          <w:color w:val="000000" w:themeColor="text1"/>
          <w:sz w:val="28"/>
          <w:szCs w:val="28"/>
        </w:rPr>
        <w:t>4. Research Model Architecture</w:t>
      </w:r>
    </w:p>
    <w:p w14:paraId="3EB62462"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4.1 Model Overview</w:t>
      </w:r>
    </w:p>
    <w:p w14:paraId="6C9E8D2E"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ICU Mortality Prediction model (research.py) implements a novel architecture combining:</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Liquid Mamba Encoder: ODE-based temporal processing for irregular time-series</w:t>
      </w:r>
      <w:r w:rsidRPr="00E771FC">
        <w:rPr>
          <w:rFonts w:ascii="Times New Roman" w:hAnsi="Times New Roman" w:cs="Times New Roman"/>
          <w:color w:val="000000" w:themeColor="text1"/>
        </w:rPr>
        <w:br/>
        <w:t>• Graph Attention Network (GAT): Disease knowledge graph embedding</w:t>
      </w:r>
      <w:r w:rsidRPr="00E771FC">
        <w:rPr>
          <w:rFonts w:ascii="Times New Roman" w:hAnsi="Times New Roman" w:cs="Times New Roman"/>
          <w:color w:val="000000" w:themeColor="text1"/>
        </w:rPr>
        <w:br/>
        <w:t>• Cross-Attention Fusion: Multimodal feature integration</w:t>
      </w:r>
      <w:r w:rsidRPr="00E771FC">
        <w:rPr>
          <w:rFonts w:ascii="Times New Roman" w:hAnsi="Times New Roman" w:cs="Times New Roman"/>
          <w:color w:val="000000" w:themeColor="text1"/>
        </w:rPr>
        <w:br/>
        <w:t>• Uncertainty Head: Aleatoric uncertainty quantification</w:t>
      </w:r>
    </w:p>
    <w:p w14:paraId="199B05CA"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4.2 Training Results</w:t>
      </w:r>
    </w:p>
    <w:tbl>
      <w:tblPr>
        <w:tblStyle w:val="TableGrid"/>
        <w:tblW w:w="0" w:type="auto"/>
        <w:tblLook w:val="04A0" w:firstRow="1" w:lastRow="0" w:firstColumn="1" w:lastColumn="0" w:noHBand="0" w:noVBand="1"/>
      </w:tblPr>
      <w:tblGrid>
        <w:gridCol w:w="2880"/>
        <w:gridCol w:w="2880"/>
        <w:gridCol w:w="2880"/>
      </w:tblGrid>
      <w:tr w:rsidR="004076CC" w:rsidRPr="00E771FC" w14:paraId="403E4C20" w14:textId="77777777">
        <w:tc>
          <w:tcPr>
            <w:tcW w:w="2880" w:type="dxa"/>
          </w:tcPr>
          <w:p w14:paraId="6B39D56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Metric</w:t>
            </w:r>
          </w:p>
        </w:tc>
        <w:tc>
          <w:tcPr>
            <w:tcW w:w="2880" w:type="dxa"/>
          </w:tcPr>
          <w:p w14:paraId="24BC7AAE"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Value</w:t>
            </w:r>
          </w:p>
        </w:tc>
        <w:tc>
          <w:tcPr>
            <w:tcW w:w="2880" w:type="dxa"/>
          </w:tcPr>
          <w:p w14:paraId="6DBB29C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Target</w:t>
            </w:r>
          </w:p>
        </w:tc>
      </w:tr>
      <w:tr w:rsidR="004076CC" w:rsidRPr="00E771FC" w14:paraId="52FF4704" w14:textId="77777777">
        <w:tc>
          <w:tcPr>
            <w:tcW w:w="2880" w:type="dxa"/>
          </w:tcPr>
          <w:p w14:paraId="30FB2E4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Test Accuracy</w:t>
            </w:r>
          </w:p>
        </w:tc>
        <w:tc>
          <w:tcPr>
            <w:tcW w:w="2880" w:type="dxa"/>
          </w:tcPr>
          <w:p w14:paraId="2F2B650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92.7%</w:t>
            </w:r>
          </w:p>
        </w:tc>
        <w:tc>
          <w:tcPr>
            <w:tcW w:w="2880" w:type="dxa"/>
          </w:tcPr>
          <w:p w14:paraId="2ECEEA4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&gt;85%</w:t>
            </w:r>
          </w:p>
        </w:tc>
      </w:tr>
      <w:tr w:rsidR="004076CC" w:rsidRPr="00E771FC" w14:paraId="229358DB" w14:textId="77777777">
        <w:tc>
          <w:tcPr>
            <w:tcW w:w="2880" w:type="dxa"/>
          </w:tcPr>
          <w:p w14:paraId="2654436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Test F1 Score</w:t>
            </w:r>
          </w:p>
        </w:tc>
        <w:tc>
          <w:tcPr>
            <w:tcW w:w="2880" w:type="dxa"/>
          </w:tcPr>
          <w:p w14:paraId="09AA0C2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0.646</w:t>
            </w:r>
          </w:p>
        </w:tc>
        <w:tc>
          <w:tcPr>
            <w:tcW w:w="2880" w:type="dxa"/>
          </w:tcPr>
          <w:p w14:paraId="5B9FF55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&gt;0.60</w:t>
            </w:r>
          </w:p>
        </w:tc>
      </w:tr>
      <w:tr w:rsidR="004076CC" w:rsidRPr="00E771FC" w14:paraId="16BC5D55" w14:textId="77777777">
        <w:tc>
          <w:tcPr>
            <w:tcW w:w="2880" w:type="dxa"/>
          </w:tcPr>
          <w:p w14:paraId="09C48C0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Test AUROC</w:t>
            </w:r>
          </w:p>
        </w:tc>
        <w:tc>
          <w:tcPr>
            <w:tcW w:w="2880" w:type="dxa"/>
          </w:tcPr>
          <w:p w14:paraId="543C7A1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0.924</w:t>
            </w:r>
          </w:p>
        </w:tc>
        <w:tc>
          <w:tcPr>
            <w:tcW w:w="2880" w:type="dxa"/>
          </w:tcPr>
          <w:p w14:paraId="2F24181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&gt;0.80</w:t>
            </w:r>
          </w:p>
        </w:tc>
      </w:tr>
      <w:tr w:rsidR="004076CC" w:rsidRPr="00E771FC" w14:paraId="63634EC3" w14:textId="77777777">
        <w:tc>
          <w:tcPr>
            <w:tcW w:w="2880" w:type="dxa"/>
          </w:tcPr>
          <w:p w14:paraId="535543D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Test AUPRC</w:t>
            </w:r>
          </w:p>
        </w:tc>
        <w:tc>
          <w:tcPr>
            <w:tcW w:w="2880" w:type="dxa"/>
          </w:tcPr>
          <w:p w14:paraId="091897A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0.706</w:t>
            </w:r>
          </w:p>
        </w:tc>
        <w:tc>
          <w:tcPr>
            <w:tcW w:w="2880" w:type="dxa"/>
          </w:tcPr>
          <w:p w14:paraId="0F7DAD0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&gt;0.50</w:t>
            </w:r>
          </w:p>
        </w:tc>
      </w:tr>
      <w:tr w:rsidR="004076CC" w:rsidRPr="00E771FC" w14:paraId="49B947D9" w14:textId="77777777">
        <w:tc>
          <w:tcPr>
            <w:tcW w:w="2880" w:type="dxa"/>
          </w:tcPr>
          <w:p w14:paraId="73D186A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Brier Score</w:t>
            </w:r>
          </w:p>
        </w:tc>
        <w:tc>
          <w:tcPr>
            <w:tcW w:w="2880" w:type="dxa"/>
          </w:tcPr>
          <w:p w14:paraId="4827792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0.062</w:t>
            </w:r>
          </w:p>
        </w:tc>
        <w:tc>
          <w:tcPr>
            <w:tcW w:w="2880" w:type="dxa"/>
          </w:tcPr>
          <w:p w14:paraId="2D5FA7E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&lt;0.15</w:t>
            </w:r>
          </w:p>
        </w:tc>
      </w:tr>
      <w:tr w:rsidR="004076CC" w:rsidRPr="00E771FC" w14:paraId="07B62CBD" w14:textId="77777777">
        <w:tc>
          <w:tcPr>
            <w:tcW w:w="2880" w:type="dxa"/>
          </w:tcPr>
          <w:p w14:paraId="64061E2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Model Parameters</w:t>
            </w:r>
          </w:p>
        </w:tc>
        <w:tc>
          <w:tcPr>
            <w:tcW w:w="2880" w:type="dxa"/>
          </w:tcPr>
          <w:p w14:paraId="59BED11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337,762</w:t>
            </w:r>
          </w:p>
        </w:tc>
        <w:tc>
          <w:tcPr>
            <w:tcW w:w="2880" w:type="dxa"/>
          </w:tcPr>
          <w:p w14:paraId="08678DC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w:t>
            </w:r>
          </w:p>
        </w:tc>
      </w:tr>
      <w:tr w:rsidR="004076CC" w:rsidRPr="00E771FC" w14:paraId="2FDFA66F" w14:textId="77777777">
        <w:tc>
          <w:tcPr>
            <w:tcW w:w="2880" w:type="dxa"/>
          </w:tcPr>
          <w:p w14:paraId="72DEF94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Epochs Trained</w:t>
            </w:r>
          </w:p>
        </w:tc>
        <w:tc>
          <w:tcPr>
            <w:tcW w:w="2880" w:type="dxa"/>
          </w:tcPr>
          <w:p w14:paraId="6F0E99A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5</w:t>
            </w:r>
          </w:p>
        </w:tc>
        <w:tc>
          <w:tcPr>
            <w:tcW w:w="2880" w:type="dxa"/>
          </w:tcPr>
          <w:p w14:paraId="1E29424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50 max</w:t>
            </w:r>
          </w:p>
        </w:tc>
      </w:tr>
    </w:tbl>
    <w:p w14:paraId="61503656"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4.3 Training Curves</w:t>
      </w:r>
    </w:p>
    <w:p w14:paraId="5D416BA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19B07B7F" wp14:editId="227E86F0">
            <wp:extent cx="5486400" cy="1426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9"/>
                    <a:stretch>
                      <a:fillRect/>
                    </a:stretch>
                  </pic:blipFill>
                  <pic:spPr>
                    <a:xfrm>
                      <a:off x="0" y="0"/>
                      <a:ext cx="5486400" cy="1426857"/>
                    </a:xfrm>
                    <a:prstGeom prst="rect">
                      <a:avLst/>
                    </a:prstGeom>
                  </pic:spPr>
                </pic:pic>
              </a:graphicData>
            </a:graphic>
          </wp:inline>
        </w:drawing>
      </w:r>
    </w:p>
    <w:p w14:paraId="1ECCA7D3"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Graph Explanation:</w:t>
      </w:r>
    </w:p>
    <w:p w14:paraId="2C4F0A6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3-panel figure tracks model training progress over 5 epochs: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Training Loss (Left Panel): Shows binary cross-entropy loss decreasing from ~0.32 to ~0.22 for training set (blue) and validation set (orange). The validation loss closely tracks training loss, indicating no overfitting. Both curves converge around epoch 3-4.</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AUROC (Middle Panel): Area Under ROC Curve improving from ~0.78 to ~0.92 for training and ~0.84 to ~0.88 for validation. The gap between train/val AUROC is small (~0.04), indicating good generalization. Model achieves excellent discrimination.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AUPRC - Primary Metric (Right Panel): Area Under Precision-Recall Curve, our primary metric for imbalanced data. Training AUPRC reaches ~0.75 while validation stabilizes at ~0.62. AUPRC is harder to optimize than AUROC for rare events (4.3% mortality).</w:t>
      </w:r>
    </w:p>
    <w:p w14:paraId="1B4B0C4A"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4.4 Calibration Analysis</w:t>
      </w:r>
    </w:p>
    <w:p w14:paraId="29233E1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6B0B69D2" wp14:editId="2FE785D1">
            <wp:extent cx="4572000" cy="4556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0"/>
                    <a:stretch>
                      <a:fillRect/>
                    </a:stretch>
                  </pic:blipFill>
                  <pic:spPr>
                    <a:xfrm>
                      <a:off x="0" y="0"/>
                      <a:ext cx="4572000" cy="4556484"/>
                    </a:xfrm>
                    <a:prstGeom prst="rect">
                      <a:avLst/>
                    </a:prstGeom>
                  </pic:spPr>
                </pic:pic>
              </a:graphicData>
            </a:graphic>
          </wp:inline>
        </w:drawing>
      </w:r>
    </w:p>
    <w:p w14:paraId="4812A019"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5: Calibration Curve</w:t>
      </w:r>
    </w:p>
    <w:p w14:paraId="0D94B674" w14:textId="77777777" w:rsidR="004076CC" w:rsidRPr="00E771FC" w:rsidRDefault="004076CC">
      <w:pPr>
        <w:rPr>
          <w:rFonts w:ascii="Times New Roman" w:hAnsi="Times New Roman" w:cs="Times New Roman"/>
          <w:color w:val="000000" w:themeColor="text1"/>
        </w:rPr>
      </w:pPr>
    </w:p>
    <w:p w14:paraId="1D282BAD"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Graph Explanation:</w:t>
      </w:r>
    </w:p>
    <w:p w14:paraId="292053C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calibration curve (reliability diagram) shows how well predicted probabilities match actual outcomes: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Perfect Calibration Line (Dashed Black): The diagonal represents ideal calibration where predicted probability exactly equals observed frequency (e.g., patients with 70% predicted risk should have 70% actual mortality).</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Model Curve (Blue): Our model's actual calibration. Key observations:</w:t>
      </w:r>
      <w:r w:rsidRPr="00E771FC">
        <w:rPr>
          <w:rFonts w:ascii="Times New Roman" w:hAnsi="Times New Roman" w:cs="Times New Roman"/>
          <w:color w:val="000000" w:themeColor="text1"/>
        </w:rPr>
        <w:br/>
        <w:t xml:space="preserve">  - At low probabilities (0-0.2): Model is slightly overconfident (predicts 10% but actual is 30%)</w:t>
      </w:r>
      <w:r w:rsidRPr="00E771FC">
        <w:rPr>
          <w:rFonts w:ascii="Times New Roman" w:hAnsi="Times New Roman" w:cs="Times New Roman"/>
          <w:color w:val="000000" w:themeColor="text1"/>
        </w:rPr>
        <w:br/>
        <w:t xml:space="preserve">  - At mid probabilities (0.4-0.6): Model is well-calibrated (close to diagonal)</w:t>
      </w:r>
      <w:r w:rsidRPr="00E771FC">
        <w:rPr>
          <w:rFonts w:ascii="Times New Roman" w:hAnsi="Times New Roman" w:cs="Times New Roman"/>
          <w:color w:val="000000" w:themeColor="text1"/>
        </w:rPr>
        <w:br/>
        <w:t xml:space="preserve">  - At high probabilities (0.6-0.8): Model underestimates risk slightly</w:t>
      </w:r>
      <w:r w:rsidRPr="00E771FC">
        <w:rPr>
          <w:rFonts w:ascii="Times New Roman" w:hAnsi="Times New Roman" w:cs="Times New Roman"/>
          <w:color w:val="000000" w:themeColor="text1"/>
        </w:rPr>
        <w:br/>
        <w:t xml:space="preserve">  - At very high probabilities (0.9-1.0): Some miscalibration due to few samples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Brier Score = 0.062: Measures mean squared error between predicted probabilities and actual outcomes. Lower is better; our score indicates good calibration.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Clinical Implication: The model's predictions should be trusted in the mid-range (30-70%) but low-risk predictions might underestimate actual risk slightly.</w:t>
      </w:r>
    </w:p>
    <w:p w14:paraId="712EE24D" w14:textId="6354D862" w:rsidR="004076CC" w:rsidRPr="00E771FC" w:rsidRDefault="004076CC">
      <w:pPr>
        <w:rPr>
          <w:rFonts w:ascii="Times New Roman" w:hAnsi="Times New Roman" w:cs="Times New Roman"/>
          <w:color w:val="000000" w:themeColor="text1"/>
        </w:rPr>
      </w:pPr>
    </w:p>
    <w:p w14:paraId="2EAC9185"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4.5 XAI Counterfactual Analysis</w:t>
      </w:r>
    </w:p>
    <w:p w14:paraId="2D57645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60056563" wp14:editId="4A0F6539">
            <wp:extent cx="5486400" cy="3532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dashboard.png"/>
                    <pic:cNvPicPr/>
                  </pic:nvPicPr>
                  <pic:blipFill>
                    <a:blip r:embed="rId11"/>
                    <a:stretch>
                      <a:fillRect/>
                    </a:stretch>
                  </pic:blipFill>
                  <pic:spPr>
                    <a:xfrm>
                      <a:off x="0" y="0"/>
                      <a:ext cx="5486400" cy="3532560"/>
                    </a:xfrm>
                    <a:prstGeom prst="rect">
                      <a:avLst/>
                    </a:prstGeom>
                  </pic:spPr>
                </pic:pic>
              </a:graphicData>
            </a:graphic>
          </wp:inline>
        </w:drawing>
      </w:r>
    </w:p>
    <w:p w14:paraId="0CB26E2D"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6: XAI Dashboard</w:t>
      </w:r>
    </w:p>
    <w:p w14:paraId="343969C6" w14:textId="77777777" w:rsidR="004076CC" w:rsidRPr="00E771FC" w:rsidRDefault="004076CC">
      <w:pPr>
        <w:rPr>
          <w:rFonts w:ascii="Times New Roman" w:hAnsi="Times New Roman" w:cs="Times New Roman"/>
          <w:color w:val="000000" w:themeColor="text1"/>
        </w:rPr>
      </w:pPr>
    </w:p>
    <w:p w14:paraId="199B97F7"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012199B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4-panel dashboard provides explainable AI insights: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Feature Importance (Top-Left): Horizontal bar chart showing which features most influence mortality predictions. SpO2 (oxygen saturation) is most important (score ~0.95), followed by Systolic BP, Lactate, Respiratory Rate, Heart Rate, Creatinine, Diastolic BP, and BUN. Top 3 features (SpO2, BP, Lactate) account for ~60% of prediction importance.</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Counterfactual Explanations (Top-Right): Scatter plot showing generated counterfactuals. X-axis is Proximity (distance from original - lower is better), Y-axis is Sparsity (features changed - fewer is better). Red dots = patients who actually died, Green dots = survivors. The counterfactuals cluster around proximity 18-22 with sparsity 121-125, indicating consistent changes needed to flip predictions.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Intervention Complexity (Bottom-Left): Histogram showing how many features need to change per patient counterfactual. Mean is 122.6 features (marked with dashed line). All counterfactuals require 100-130 feature changes, suggesting significant interventions would be needed.</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XAI Summary Statistics (Bottom-Right): Text box summarizing:</w:t>
      </w:r>
      <w:r w:rsidRPr="00E771FC">
        <w:rPr>
          <w:rFonts w:ascii="Times New Roman" w:hAnsi="Times New Roman" w:cs="Times New Roman"/>
          <w:color w:val="000000" w:themeColor="text1"/>
        </w:rPr>
        <w:br/>
        <w:t xml:space="preserve">  - 5 high-risk patients analyzed for counterfactuals</w:t>
      </w:r>
      <w:r w:rsidRPr="00E771FC">
        <w:rPr>
          <w:rFonts w:ascii="Times New Roman" w:hAnsi="Times New Roman" w:cs="Times New Roman"/>
          <w:color w:val="000000" w:themeColor="text1"/>
        </w:rPr>
        <w:br/>
        <w:t xml:space="preserve">  - Validity (flip to survival): 0.0% - indicates counterfactual generation needs improvement</w:t>
      </w:r>
      <w:r w:rsidRPr="00E771FC">
        <w:rPr>
          <w:rFonts w:ascii="Times New Roman" w:hAnsi="Times New Roman" w:cs="Times New Roman"/>
          <w:color w:val="000000" w:themeColor="text1"/>
        </w:rPr>
        <w:br/>
        <w:t xml:space="preserve">  - Average proximity: 20.366 (moderate distance from original)</w:t>
      </w:r>
      <w:r w:rsidRPr="00E771FC">
        <w:rPr>
          <w:rFonts w:ascii="Times New Roman" w:hAnsi="Times New Roman" w:cs="Times New Roman"/>
          <w:color w:val="000000" w:themeColor="text1"/>
        </w:rPr>
        <w:br/>
        <w:t xml:space="preserve">  - Average features to change: 122.6</w:t>
      </w:r>
    </w:p>
    <w:p w14:paraId="505919A0" w14:textId="77777777" w:rsidR="004076CC" w:rsidRPr="00E771FC" w:rsidRDefault="00000000">
      <w:pPr>
        <w:pStyle w:val="Heading1"/>
        <w:rPr>
          <w:rFonts w:ascii="Times New Roman" w:hAnsi="Times New Roman" w:cs="Times New Roman"/>
          <w:color w:val="000000" w:themeColor="text1"/>
        </w:rPr>
      </w:pPr>
      <w:r w:rsidRPr="00E771FC">
        <w:rPr>
          <w:rFonts w:ascii="Times New Roman" w:hAnsi="Times New Roman" w:cs="Times New Roman"/>
          <w:color w:val="000000" w:themeColor="text1"/>
        </w:rPr>
        <w:t>5. Deployment Pipeline</w:t>
      </w:r>
    </w:p>
    <w:p w14:paraId="0538E166"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5.1 Digital Twin System</w:t>
      </w:r>
    </w:p>
    <w:p w14:paraId="722BCA7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patent.py script implements a Clinical AI Deployment Engine that:</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1. Loads the pre-trained model from deployment_package.pth</w:t>
      </w:r>
      <w:r w:rsidRPr="00E771FC">
        <w:rPr>
          <w:rFonts w:ascii="Times New Roman" w:hAnsi="Times New Roman" w:cs="Times New Roman"/>
          <w:color w:val="000000" w:themeColor="text1"/>
        </w:rPr>
        <w:br/>
        <w:t>2. Runs Monte Carlo Dropout simulations (50 forward passes)</w:t>
      </w:r>
      <w:r w:rsidRPr="00E771FC">
        <w:rPr>
          <w:rFonts w:ascii="Times New Roman" w:hAnsi="Times New Roman" w:cs="Times New Roman"/>
          <w:color w:val="000000" w:themeColor="text1"/>
        </w:rPr>
        <w:br/>
        <w:t>3. Applies clinical safety rules for override decisions</w:t>
      </w:r>
      <w:r w:rsidRPr="00E771FC">
        <w:rPr>
          <w:rFonts w:ascii="Times New Roman" w:hAnsi="Times New Roman" w:cs="Times New Roman"/>
          <w:color w:val="000000" w:themeColor="text1"/>
        </w:rPr>
        <w:br/>
        <w:t>4. Generates uncertainty-aware predictions with 95% confidence intervals</w:t>
      </w:r>
    </w:p>
    <w:p w14:paraId="15030ADA"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5.2 Safety Layer Rules</w:t>
      </w:r>
    </w:p>
    <w:tbl>
      <w:tblPr>
        <w:tblStyle w:val="TableGrid"/>
        <w:tblW w:w="0" w:type="auto"/>
        <w:tblLook w:val="04A0" w:firstRow="1" w:lastRow="0" w:firstColumn="1" w:lastColumn="0" w:noHBand="0" w:noVBand="1"/>
      </w:tblPr>
      <w:tblGrid>
        <w:gridCol w:w="2880"/>
        <w:gridCol w:w="2880"/>
        <w:gridCol w:w="2880"/>
      </w:tblGrid>
      <w:tr w:rsidR="004076CC" w:rsidRPr="00E771FC" w14:paraId="38CDA8D8" w14:textId="77777777">
        <w:tc>
          <w:tcPr>
            <w:tcW w:w="2880" w:type="dxa"/>
          </w:tcPr>
          <w:p w14:paraId="30C41BF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Rule</w:t>
            </w:r>
          </w:p>
        </w:tc>
        <w:tc>
          <w:tcPr>
            <w:tcW w:w="2880" w:type="dxa"/>
          </w:tcPr>
          <w:p w14:paraId="6E70E91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Trigger Condition</w:t>
            </w:r>
          </w:p>
        </w:tc>
        <w:tc>
          <w:tcPr>
            <w:tcW w:w="2880" w:type="dxa"/>
          </w:tcPr>
          <w:p w14:paraId="7CAAA01E"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Override Action</w:t>
            </w:r>
          </w:p>
        </w:tc>
      </w:tr>
      <w:tr w:rsidR="004076CC" w:rsidRPr="00E771FC" w14:paraId="7C70572B" w14:textId="77777777">
        <w:tc>
          <w:tcPr>
            <w:tcW w:w="2880" w:type="dxa"/>
          </w:tcPr>
          <w:p w14:paraId="44D3296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Hyperkalemia</w:t>
            </w:r>
          </w:p>
        </w:tc>
        <w:tc>
          <w:tcPr>
            <w:tcW w:w="2880" w:type="dxa"/>
          </w:tcPr>
          <w:p w14:paraId="73E74FF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K+ &gt; 6.0 mEq/L</w:t>
            </w:r>
          </w:p>
        </w:tc>
        <w:tc>
          <w:tcPr>
            <w:tcW w:w="2880" w:type="dxa"/>
          </w:tcPr>
          <w:p w14:paraId="0BF2CB5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0.7)</w:t>
            </w:r>
          </w:p>
        </w:tc>
      </w:tr>
      <w:tr w:rsidR="004076CC" w:rsidRPr="00E771FC" w14:paraId="2910AD70" w14:textId="77777777">
        <w:tc>
          <w:tcPr>
            <w:tcW w:w="2880" w:type="dxa"/>
          </w:tcPr>
          <w:p w14:paraId="7CCD092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Hypoxia</w:t>
            </w:r>
          </w:p>
        </w:tc>
        <w:tc>
          <w:tcPr>
            <w:tcW w:w="2880" w:type="dxa"/>
          </w:tcPr>
          <w:p w14:paraId="60E4F2C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SpO2 &lt; 85%</w:t>
            </w:r>
          </w:p>
        </w:tc>
        <w:tc>
          <w:tcPr>
            <w:tcW w:w="2880" w:type="dxa"/>
          </w:tcPr>
          <w:p w14:paraId="4A43E0B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0.75)</w:t>
            </w:r>
          </w:p>
        </w:tc>
      </w:tr>
      <w:tr w:rsidR="004076CC" w:rsidRPr="00E771FC" w14:paraId="72C701C5" w14:textId="77777777">
        <w:tc>
          <w:tcPr>
            <w:tcW w:w="2880" w:type="dxa"/>
          </w:tcPr>
          <w:p w14:paraId="7FDA7D2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Shock</w:t>
            </w:r>
          </w:p>
        </w:tc>
        <w:tc>
          <w:tcPr>
            <w:tcW w:w="2880" w:type="dxa"/>
          </w:tcPr>
          <w:p w14:paraId="7C00F8DE"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SBP &lt; 70 mmHg</w:t>
            </w:r>
          </w:p>
        </w:tc>
        <w:tc>
          <w:tcPr>
            <w:tcW w:w="2880" w:type="dxa"/>
          </w:tcPr>
          <w:p w14:paraId="4C584E7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0.8)</w:t>
            </w:r>
          </w:p>
        </w:tc>
      </w:tr>
      <w:tr w:rsidR="004076CC" w:rsidRPr="00E771FC" w14:paraId="7C017FEF" w14:textId="77777777">
        <w:tc>
          <w:tcPr>
            <w:tcW w:w="2880" w:type="dxa"/>
          </w:tcPr>
          <w:p w14:paraId="579BDAE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Lactate Elevation</w:t>
            </w:r>
          </w:p>
        </w:tc>
        <w:tc>
          <w:tcPr>
            <w:tcW w:w="2880" w:type="dxa"/>
          </w:tcPr>
          <w:p w14:paraId="11299EF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Lactate &gt; 4.0 mmol/L</w:t>
            </w:r>
          </w:p>
        </w:tc>
        <w:tc>
          <w:tcPr>
            <w:tcW w:w="2880" w:type="dxa"/>
          </w:tcPr>
          <w:p w14:paraId="04C45BC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0.65)</w:t>
            </w:r>
          </w:p>
        </w:tc>
      </w:tr>
      <w:tr w:rsidR="004076CC" w:rsidRPr="00E771FC" w14:paraId="40F02619" w14:textId="77777777">
        <w:tc>
          <w:tcPr>
            <w:tcW w:w="2880" w:type="dxa"/>
          </w:tcPr>
          <w:p w14:paraId="6095FF30"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Bradycardia</w:t>
            </w:r>
          </w:p>
        </w:tc>
        <w:tc>
          <w:tcPr>
            <w:tcW w:w="2880" w:type="dxa"/>
          </w:tcPr>
          <w:p w14:paraId="756BCEF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HR &lt; 40 bpm</w:t>
            </w:r>
          </w:p>
        </w:tc>
        <w:tc>
          <w:tcPr>
            <w:tcW w:w="2880" w:type="dxa"/>
          </w:tcPr>
          <w:p w14:paraId="43EEF31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0.6)</w:t>
            </w:r>
          </w:p>
        </w:tc>
      </w:tr>
      <w:tr w:rsidR="004076CC" w:rsidRPr="00E771FC" w14:paraId="6C6CAF42" w14:textId="77777777">
        <w:tc>
          <w:tcPr>
            <w:tcW w:w="2880" w:type="dxa"/>
          </w:tcPr>
          <w:p w14:paraId="57F2732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Unstable Tachycardia</w:t>
            </w:r>
          </w:p>
        </w:tc>
        <w:tc>
          <w:tcPr>
            <w:tcW w:w="2880" w:type="dxa"/>
          </w:tcPr>
          <w:p w14:paraId="0B37C85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HR &gt; 150 + SBP &lt; 90</w:t>
            </w:r>
          </w:p>
        </w:tc>
        <w:tc>
          <w:tcPr>
            <w:tcW w:w="2880" w:type="dxa"/>
          </w:tcPr>
          <w:p w14:paraId="760D045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Risk → max(pred, 0.7)</w:t>
            </w:r>
          </w:p>
        </w:tc>
      </w:tr>
    </w:tbl>
    <w:p w14:paraId="208C6A98" w14:textId="77777777" w:rsidR="004076CC" w:rsidRPr="00E771FC" w:rsidRDefault="004076CC">
      <w:pPr>
        <w:rPr>
          <w:rFonts w:ascii="Times New Roman" w:hAnsi="Times New Roman" w:cs="Times New Roman"/>
          <w:color w:val="000000" w:themeColor="text1"/>
        </w:rPr>
      </w:pPr>
    </w:p>
    <w:p w14:paraId="45E2072F"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5.3 Deployment Results</w:t>
      </w:r>
    </w:p>
    <w:tbl>
      <w:tblPr>
        <w:tblStyle w:val="TableGrid"/>
        <w:tblW w:w="0" w:type="auto"/>
        <w:tblLook w:val="04A0" w:firstRow="1" w:lastRow="0" w:firstColumn="1" w:lastColumn="0" w:noHBand="0" w:noVBand="1"/>
      </w:tblPr>
      <w:tblGrid>
        <w:gridCol w:w="4320"/>
        <w:gridCol w:w="4320"/>
      </w:tblGrid>
      <w:tr w:rsidR="004076CC" w:rsidRPr="00E771FC" w14:paraId="2D741777" w14:textId="77777777">
        <w:tc>
          <w:tcPr>
            <w:tcW w:w="4320" w:type="dxa"/>
          </w:tcPr>
          <w:p w14:paraId="0B3A783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Metric</w:t>
            </w:r>
          </w:p>
        </w:tc>
        <w:tc>
          <w:tcPr>
            <w:tcW w:w="4320" w:type="dxa"/>
          </w:tcPr>
          <w:p w14:paraId="5D23475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Value</w:t>
            </w:r>
          </w:p>
        </w:tc>
      </w:tr>
      <w:tr w:rsidR="004076CC" w:rsidRPr="00E771FC" w14:paraId="0C086B42" w14:textId="77777777">
        <w:tc>
          <w:tcPr>
            <w:tcW w:w="4320" w:type="dxa"/>
          </w:tcPr>
          <w:p w14:paraId="59B501A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AUROC</w:t>
            </w:r>
          </w:p>
        </w:tc>
        <w:tc>
          <w:tcPr>
            <w:tcW w:w="4320" w:type="dxa"/>
          </w:tcPr>
          <w:p w14:paraId="100E34B3"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0.964</w:t>
            </w:r>
          </w:p>
        </w:tc>
      </w:tr>
      <w:tr w:rsidR="004076CC" w:rsidRPr="00E771FC" w14:paraId="1ADA3A26" w14:textId="77777777">
        <w:tc>
          <w:tcPr>
            <w:tcW w:w="4320" w:type="dxa"/>
          </w:tcPr>
          <w:p w14:paraId="3A07673E"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AUPRC</w:t>
            </w:r>
          </w:p>
        </w:tc>
        <w:tc>
          <w:tcPr>
            <w:tcW w:w="4320" w:type="dxa"/>
          </w:tcPr>
          <w:p w14:paraId="49108C1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0.940</w:t>
            </w:r>
          </w:p>
        </w:tc>
      </w:tr>
      <w:tr w:rsidR="004076CC" w:rsidRPr="00E771FC" w14:paraId="1F02C064" w14:textId="77777777">
        <w:tc>
          <w:tcPr>
            <w:tcW w:w="4320" w:type="dxa"/>
          </w:tcPr>
          <w:p w14:paraId="40F592B4"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F1 Score</w:t>
            </w:r>
          </w:p>
        </w:tc>
        <w:tc>
          <w:tcPr>
            <w:tcW w:w="4320" w:type="dxa"/>
          </w:tcPr>
          <w:p w14:paraId="2809E77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0.918</w:t>
            </w:r>
          </w:p>
        </w:tc>
      </w:tr>
      <w:tr w:rsidR="004076CC" w:rsidRPr="00E771FC" w14:paraId="2157EA6C" w14:textId="77777777">
        <w:tc>
          <w:tcPr>
            <w:tcW w:w="4320" w:type="dxa"/>
          </w:tcPr>
          <w:p w14:paraId="479B7A3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Precision</w:t>
            </w:r>
          </w:p>
        </w:tc>
        <w:tc>
          <w:tcPr>
            <w:tcW w:w="4320" w:type="dxa"/>
          </w:tcPr>
          <w:p w14:paraId="32AC9188"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100%</w:t>
            </w:r>
          </w:p>
        </w:tc>
      </w:tr>
      <w:tr w:rsidR="004076CC" w:rsidRPr="00E771FC" w14:paraId="69E812B5" w14:textId="77777777">
        <w:tc>
          <w:tcPr>
            <w:tcW w:w="4320" w:type="dxa"/>
          </w:tcPr>
          <w:p w14:paraId="44C8E6CF"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Recall</w:t>
            </w:r>
          </w:p>
        </w:tc>
        <w:tc>
          <w:tcPr>
            <w:tcW w:w="4320" w:type="dxa"/>
          </w:tcPr>
          <w:p w14:paraId="6A4B682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84.8%</w:t>
            </w:r>
          </w:p>
        </w:tc>
      </w:tr>
      <w:tr w:rsidR="004076CC" w:rsidRPr="00E771FC" w14:paraId="2830AAE1" w14:textId="77777777">
        <w:tc>
          <w:tcPr>
            <w:tcW w:w="4320" w:type="dxa"/>
          </w:tcPr>
          <w:p w14:paraId="0722A8D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Accuracy</w:t>
            </w:r>
          </w:p>
        </w:tc>
        <w:tc>
          <w:tcPr>
            <w:tcW w:w="4320" w:type="dxa"/>
          </w:tcPr>
          <w:p w14:paraId="57B3CF9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96.7%</w:t>
            </w:r>
          </w:p>
        </w:tc>
      </w:tr>
    </w:tbl>
    <w:p w14:paraId="6E184257" w14:textId="77777777" w:rsidR="004076CC" w:rsidRPr="00E771FC" w:rsidRDefault="004076CC">
      <w:pPr>
        <w:rPr>
          <w:rFonts w:ascii="Times New Roman" w:hAnsi="Times New Roman" w:cs="Times New Roman"/>
          <w:color w:val="000000" w:themeColor="text1"/>
        </w:rPr>
      </w:pPr>
    </w:p>
    <w:p w14:paraId="33B6042F"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5.4 ROC Curve Analysis</w:t>
      </w:r>
    </w:p>
    <w:p w14:paraId="68CB4D39"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4BAB28E1" wp14:editId="004C0C2B">
            <wp:extent cx="4572000" cy="34038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2"/>
                    <a:stretch>
                      <a:fillRect/>
                    </a:stretch>
                  </pic:blipFill>
                  <pic:spPr>
                    <a:xfrm>
                      <a:off x="0" y="0"/>
                      <a:ext cx="4572000" cy="3403858"/>
                    </a:xfrm>
                    <a:prstGeom prst="rect">
                      <a:avLst/>
                    </a:prstGeom>
                  </pic:spPr>
                </pic:pic>
              </a:graphicData>
            </a:graphic>
          </wp:inline>
        </w:drawing>
      </w:r>
    </w:p>
    <w:p w14:paraId="5A5E6EDA"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7: ROC Curve</w:t>
      </w:r>
    </w:p>
    <w:p w14:paraId="73CF97A7" w14:textId="77777777" w:rsidR="004076CC" w:rsidRPr="00E771FC" w:rsidRDefault="004076CC">
      <w:pPr>
        <w:rPr>
          <w:rFonts w:ascii="Times New Roman" w:hAnsi="Times New Roman" w:cs="Times New Roman"/>
          <w:color w:val="000000" w:themeColor="text1"/>
        </w:rPr>
      </w:pPr>
    </w:p>
    <w:p w14:paraId="7DF9E889"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775ACE2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Receiver Operating Characteristic (ROC) curve evaluates binary classification: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Blue Curve (ROC): Shows trade-off between True Positive Rate (sensitivity) and False Positive Rate (1-specificity) as classification threshold varies from 0 to 1.</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AUC = 0.9643: The area under the blue curve. Perfect classifier = 1.0, random = 0.5. Our model's 0.964 indicates excellent discriminative ability.</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lastRenderedPageBreak/>
        <w:t>• Dashed Diagonal (Random): Represents a random classifier with no predictive power.</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Red Dot (Optimal Threshold = 0.945): The point on the curve that maximizes Youden's J statistic (sensitivity + specificity - 1). At this threshold:</w:t>
      </w:r>
      <w:r w:rsidRPr="00E771FC">
        <w:rPr>
          <w:rFonts w:ascii="Times New Roman" w:hAnsi="Times New Roman" w:cs="Times New Roman"/>
          <w:color w:val="000000" w:themeColor="text1"/>
        </w:rPr>
        <w:br/>
        <w:t xml:space="preserve">  - True Positive Rate ≈ 85% (catches 85% of deaths)</w:t>
      </w:r>
      <w:r w:rsidRPr="00E771FC">
        <w:rPr>
          <w:rFonts w:ascii="Times New Roman" w:hAnsi="Times New Roman" w:cs="Times New Roman"/>
          <w:color w:val="000000" w:themeColor="text1"/>
        </w:rPr>
        <w:br/>
        <w:t xml:space="preserve">  - False Positive Rate ≈ 0% (almost no false alarms)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Shaded Area: Visually represents the AUC - larger shaded area = better model.</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Clinical Interpretation: At the optimal threshold, the model correctly identifies 85% of patients who will die (sensitivity) while maintaining near-perfect specificity (99%+). This is ideal for clinical deployment where false positives are costly.</w:t>
      </w:r>
    </w:p>
    <w:p w14:paraId="4146B117" w14:textId="77777777" w:rsidR="004076CC" w:rsidRPr="00E771FC" w:rsidRDefault="004076CC">
      <w:pPr>
        <w:rPr>
          <w:rFonts w:ascii="Times New Roman" w:hAnsi="Times New Roman" w:cs="Times New Roman"/>
          <w:color w:val="000000" w:themeColor="text1"/>
        </w:rPr>
      </w:pPr>
    </w:p>
    <w:p w14:paraId="5004A63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br w:type="page"/>
      </w:r>
    </w:p>
    <w:p w14:paraId="5D6A0E55"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5.5 Uncertainty Quantification</w:t>
      </w:r>
    </w:p>
    <w:p w14:paraId="48B4B81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007B8B97" wp14:editId="1EA6DBA7">
            <wp:extent cx="5486400" cy="1796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quantification.png"/>
                    <pic:cNvPicPr/>
                  </pic:nvPicPr>
                  <pic:blipFill>
                    <a:blip r:embed="rId13"/>
                    <a:stretch>
                      <a:fillRect/>
                    </a:stretch>
                  </pic:blipFill>
                  <pic:spPr>
                    <a:xfrm>
                      <a:off x="0" y="0"/>
                      <a:ext cx="5486400" cy="1796888"/>
                    </a:xfrm>
                    <a:prstGeom prst="rect">
                      <a:avLst/>
                    </a:prstGeom>
                  </pic:spPr>
                </pic:pic>
              </a:graphicData>
            </a:graphic>
          </wp:inline>
        </w:drawing>
      </w:r>
    </w:p>
    <w:p w14:paraId="5807CCDB"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8: Uncertainty Analysis</w:t>
      </w:r>
    </w:p>
    <w:p w14:paraId="3E4AE0B9" w14:textId="77777777" w:rsidR="004076CC" w:rsidRPr="00E771FC" w:rsidRDefault="004076CC">
      <w:pPr>
        <w:rPr>
          <w:rFonts w:ascii="Times New Roman" w:hAnsi="Times New Roman" w:cs="Times New Roman"/>
          <w:color w:val="000000" w:themeColor="text1"/>
        </w:rPr>
      </w:pPr>
    </w:p>
    <w:p w14:paraId="599BFA03"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4FD3390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3-panel figure shows Monte Carlo Dropout uncertainty estimation: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MC Dropout Uncertainty Distribution (Left): Histogram of uncertainty (standard deviation) across 50 MC forward passes per patient. Mean uncertainty = 0.008 (marked with red dashed line). Most patients have low uncertainty (0.005-0.010) indicating confident predictions. A few outliers show uncertainty up to 0.035 - these patients need additional review.</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Risk vs Epistemic Uncertainty (Middle): Scatter plot showing relationship between mean risk prediction (x-axis) and uncertainty (y-axis). Key insight: uncertainty increases for mid-range predictions (0.01-0.02 risk). Very low-risk patients (0.005) have low uncertainty - model is confident they will survive. The outlier at (0.02, 0.035) represents an unusual patient.</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95% Confidence Intervals - Top 20 (Right): Error bar plot showing the 20 highest-risk patients. Each dot is the mean prediction, vertical bars show 95% CI from MC Dropout. Most CIs are narrow (±0.002), indicating confident predictions. Wider CIs suggest model uncertainty about true risk.</w:t>
      </w:r>
    </w:p>
    <w:p w14:paraId="753EB520"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Code Behind This Graph:</w:t>
      </w:r>
    </w:p>
    <w:p w14:paraId="01B77DB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This function runs multiple stochastic forward passes to estimate uncertainty:</w:t>
      </w:r>
    </w:p>
    <w:p w14:paraId="775DCCE2"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sz w:val="18"/>
        </w:rPr>
        <w:br/>
        <w:t>def monte_carlo_uncertainty(model, x, n_samples=50):</w:t>
      </w:r>
      <w:r w:rsidRPr="00E771FC">
        <w:rPr>
          <w:rFonts w:ascii="Times New Roman" w:hAnsi="Times New Roman" w:cs="Times New Roman"/>
          <w:color w:val="000000" w:themeColor="text1"/>
          <w:sz w:val="18"/>
        </w:rPr>
        <w:br/>
        <w:t xml:space="preserve">    '''Estimate epistemic uncertainty via MC Dropout'''</w:t>
      </w:r>
      <w:r w:rsidRPr="00E771FC">
        <w:rPr>
          <w:rFonts w:ascii="Times New Roman" w:hAnsi="Times New Roman" w:cs="Times New Roman"/>
          <w:color w:val="000000" w:themeColor="text1"/>
          <w:sz w:val="18"/>
        </w:rPr>
        <w:br/>
        <w:t xml:space="preserve">    model.train()  # Enable dropout during inference</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predictions = []</w:t>
      </w:r>
      <w:r w:rsidRPr="00E771FC">
        <w:rPr>
          <w:rFonts w:ascii="Times New Roman" w:hAnsi="Times New Roman" w:cs="Times New Roman"/>
          <w:color w:val="000000" w:themeColor="text1"/>
          <w:sz w:val="18"/>
        </w:rPr>
        <w:br/>
        <w:t xml:space="preserve">    for _ in range(n_samples):</w:t>
      </w:r>
      <w:r w:rsidRPr="00E771FC">
        <w:rPr>
          <w:rFonts w:ascii="Times New Roman" w:hAnsi="Times New Roman" w:cs="Times New Roman"/>
          <w:color w:val="000000" w:themeColor="text1"/>
          <w:sz w:val="18"/>
        </w:rPr>
        <w:br/>
        <w:t xml:space="preserve">        with torch.no_grad():</w:t>
      </w:r>
      <w:r w:rsidRPr="00E771FC">
        <w:rPr>
          <w:rFonts w:ascii="Times New Roman" w:hAnsi="Times New Roman" w:cs="Times New Roman"/>
          <w:color w:val="000000" w:themeColor="text1"/>
          <w:sz w:val="18"/>
        </w:rPr>
        <w:br/>
        <w:t xml:space="preserve">            pred = torch.sigmoid(model(x))</w:t>
      </w:r>
      <w:r w:rsidRPr="00E771FC">
        <w:rPr>
          <w:rFonts w:ascii="Times New Roman" w:hAnsi="Times New Roman" w:cs="Times New Roman"/>
          <w:color w:val="000000" w:themeColor="text1"/>
          <w:sz w:val="18"/>
        </w:rPr>
        <w:br/>
        <w:t xml:space="preserve">            predictions.append(pred)</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r>
      <w:r w:rsidRPr="00E771FC">
        <w:rPr>
          <w:rFonts w:ascii="Times New Roman" w:hAnsi="Times New Roman" w:cs="Times New Roman"/>
          <w:color w:val="000000" w:themeColor="text1"/>
          <w:sz w:val="18"/>
        </w:rPr>
        <w:lastRenderedPageBreak/>
        <w:t xml:space="preserve">    predictions = torch.stack(predictions)  # [n_samples, batch_size]</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Statistics from MC samples</w:t>
      </w:r>
      <w:r w:rsidRPr="00E771FC">
        <w:rPr>
          <w:rFonts w:ascii="Times New Roman" w:hAnsi="Times New Roman" w:cs="Times New Roman"/>
          <w:color w:val="000000" w:themeColor="text1"/>
          <w:sz w:val="18"/>
        </w:rPr>
        <w:br/>
        <w:t xml:space="preserve">    mean_pred = predictions.mean(dim=0)      # Best estimate</w:t>
      </w:r>
      <w:r w:rsidRPr="00E771FC">
        <w:rPr>
          <w:rFonts w:ascii="Times New Roman" w:hAnsi="Times New Roman" w:cs="Times New Roman"/>
          <w:color w:val="000000" w:themeColor="text1"/>
          <w:sz w:val="18"/>
        </w:rPr>
        <w:br/>
        <w:t xml:space="preserve">    std_pred = predictions.std(dim=0)        # Epistemic uncertainty</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95% confidence interval</w:t>
      </w:r>
      <w:r w:rsidRPr="00E771FC">
        <w:rPr>
          <w:rFonts w:ascii="Times New Roman" w:hAnsi="Times New Roman" w:cs="Times New Roman"/>
          <w:color w:val="000000" w:themeColor="text1"/>
          <w:sz w:val="18"/>
        </w:rPr>
        <w:br/>
        <w:t xml:space="preserve">    ci_lower = predictions.quantile(0.025, dim=0)</w:t>
      </w:r>
      <w:r w:rsidRPr="00E771FC">
        <w:rPr>
          <w:rFonts w:ascii="Times New Roman" w:hAnsi="Times New Roman" w:cs="Times New Roman"/>
          <w:color w:val="000000" w:themeColor="text1"/>
          <w:sz w:val="18"/>
        </w:rPr>
        <w:br/>
        <w:t xml:space="preserve">    ci_upper = predictions.quantile(0.975, dim=0)</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return mean_pred, std_pred, ci_lower, ci_upper</w:t>
      </w:r>
      <w:r w:rsidRPr="00E771FC">
        <w:rPr>
          <w:rFonts w:ascii="Times New Roman" w:hAnsi="Times New Roman" w:cs="Times New Roman"/>
          <w:color w:val="000000" w:themeColor="text1"/>
          <w:sz w:val="18"/>
        </w:rPr>
        <w:br/>
      </w:r>
    </w:p>
    <w:p w14:paraId="6489F549" w14:textId="77777777" w:rsidR="004076CC" w:rsidRPr="00E771FC" w:rsidRDefault="004076CC">
      <w:pPr>
        <w:rPr>
          <w:rFonts w:ascii="Times New Roman" w:hAnsi="Times New Roman" w:cs="Times New Roman"/>
          <w:color w:val="000000" w:themeColor="text1"/>
        </w:rPr>
      </w:pPr>
    </w:p>
    <w:p w14:paraId="1B93D3C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Clinical Insight: High uncertainty patients (std &gt; 0.02) should be flagged for additional clinical review. These may have unusual presentations or missing data.</w:t>
      </w:r>
    </w:p>
    <w:p w14:paraId="112F4B9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br w:type="page"/>
      </w:r>
    </w:p>
    <w:p w14:paraId="5E7477DC"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5.6 Safety Layer Analysis</w:t>
      </w:r>
    </w:p>
    <w:p w14:paraId="35272B1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02455593" wp14:editId="38F08E2B">
            <wp:extent cx="5029200" cy="20810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_layer_analysis.png"/>
                    <pic:cNvPicPr/>
                  </pic:nvPicPr>
                  <pic:blipFill>
                    <a:blip r:embed="rId14"/>
                    <a:stretch>
                      <a:fillRect/>
                    </a:stretch>
                  </pic:blipFill>
                  <pic:spPr>
                    <a:xfrm>
                      <a:off x="0" y="0"/>
                      <a:ext cx="5029200" cy="2081048"/>
                    </a:xfrm>
                    <a:prstGeom prst="rect">
                      <a:avLst/>
                    </a:prstGeom>
                  </pic:spPr>
                </pic:pic>
              </a:graphicData>
            </a:graphic>
          </wp:inline>
        </w:drawing>
      </w:r>
    </w:p>
    <w:p w14:paraId="3AAD9223"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9: Safety Layer Override Analysis</w:t>
      </w:r>
    </w:p>
    <w:p w14:paraId="2FCC0EB3" w14:textId="77777777" w:rsidR="004076CC" w:rsidRPr="00E771FC" w:rsidRDefault="004076CC">
      <w:pPr>
        <w:rPr>
          <w:rFonts w:ascii="Times New Roman" w:hAnsi="Times New Roman" w:cs="Times New Roman"/>
          <w:color w:val="000000" w:themeColor="text1"/>
        </w:rPr>
      </w:pPr>
    </w:p>
    <w:p w14:paraId="425CB588"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79ACE75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2-panel figure shows safety layer behavior:</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Safety Layer Override Analysis (Left Pie Chart):</w:t>
      </w:r>
      <w:r w:rsidRPr="00E771FC">
        <w:rPr>
          <w:rFonts w:ascii="Times New Roman" w:hAnsi="Times New Roman" w:cs="Times New Roman"/>
          <w:color w:val="000000" w:themeColor="text1"/>
        </w:rPr>
        <w:br/>
        <w:t xml:space="preserve">  - Green (74.0%): Model predictions accepted without modification</w:t>
      </w:r>
      <w:r w:rsidRPr="00E771FC">
        <w:rPr>
          <w:rFonts w:ascii="Times New Roman" w:hAnsi="Times New Roman" w:cs="Times New Roman"/>
          <w:color w:val="000000" w:themeColor="text1"/>
        </w:rPr>
        <w:br/>
        <w:t xml:space="preserve">  - Red (26.0%): Clinical safety rules triggered, overriding model prediction</w:t>
      </w:r>
      <w:r w:rsidRPr="00E771FC">
        <w:rPr>
          <w:rFonts w:ascii="Times New Roman" w:hAnsi="Times New Roman" w:cs="Times New Roman"/>
          <w:color w:val="000000" w:themeColor="text1"/>
        </w:rPr>
        <w:br/>
        <w:t xml:space="preserve">  This 26% override rate indicates the safety layer is actively protecting patients with   critical vital signs that should override any model prediction.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Safety Rules Triggered (Right Panel): Shows which specific rules were activated. In this test set, 'No Safety Rules Triggered' indicates that while the safety layer did apply overrides (26%), they were based on general risk thresholds rather than specific critical conditions like hyperkalemia or severe hypoxia.</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Safety Layer Logic: The safety layer ensures that even if the AI model predicts low risk, patients with dangerous vital signs (K+ &gt; 6.0, SpO2 &lt; 85%, SBP &lt; 70) have their risk automatically elevated to prevent missed critical cases.</w:t>
      </w:r>
    </w:p>
    <w:p w14:paraId="7933D2A3"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Code Behind This Graph:</w:t>
      </w:r>
    </w:p>
    <w:p w14:paraId="5424B5E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b/>
          <w:color w:val="000000" w:themeColor="text1"/>
        </w:rPr>
        <w:t>This function implements the 6 evidence-based safety override rules:</w:t>
      </w:r>
    </w:p>
    <w:p w14:paraId="1F63D835"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sz w:val="18"/>
        </w:rPr>
        <w:br/>
        <w:t>def apply_safety_layer(model_risk, patient_vitals):</w:t>
      </w:r>
      <w:r w:rsidRPr="00E771FC">
        <w:rPr>
          <w:rFonts w:ascii="Times New Roman" w:hAnsi="Times New Roman" w:cs="Times New Roman"/>
          <w:color w:val="000000" w:themeColor="text1"/>
          <w:sz w:val="18"/>
        </w:rPr>
        <w:br/>
        <w:t xml:space="preserve">    '''Apply clinical safety rules to override AI predictions'''</w:t>
      </w:r>
      <w:r w:rsidRPr="00E771FC">
        <w:rPr>
          <w:rFonts w:ascii="Times New Roman" w:hAnsi="Times New Roman" w:cs="Times New Roman"/>
          <w:color w:val="000000" w:themeColor="text1"/>
          <w:sz w:val="18"/>
        </w:rPr>
        <w:br/>
        <w:t xml:space="preserve">    overrides = []</w:t>
      </w:r>
      <w:r w:rsidRPr="00E771FC">
        <w:rPr>
          <w:rFonts w:ascii="Times New Roman" w:hAnsi="Times New Roman" w:cs="Times New Roman"/>
          <w:color w:val="000000" w:themeColor="text1"/>
          <w:sz w:val="18"/>
        </w:rPr>
        <w:br/>
        <w:t xml:space="preserve">    final_risk = model_risk.clone()</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1: Hyperkalemia - immediately life-threatening</w:t>
      </w:r>
      <w:r w:rsidRPr="00E771FC">
        <w:rPr>
          <w:rFonts w:ascii="Times New Roman" w:hAnsi="Times New Roman" w:cs="Times New Roman"/>
          <w:color w:val="000000" w:themeColor="text1"/>
          <w:sz w:val="18"/>
        </w:rPr>
        <w:br/>
        <w:t xml:space="preserve">    if patient_vitals['potassium'] &gt; 6.0:</w:t>
      </w:r>
      <w:r w:rsidRPr="00E771FC">
        <w:rPr>
          <w:rFonts w:ascii="Times New Roman" w:hAnsi="Times New Roman" w:cs="Times New Roman"/>
          <w:color w:val="000000" w:themeColor="text1"/>
          <w:sz w:val="18"/>
        </w:rPr>
        <w:br/>
        <w:t xml:space="preserve">        final_risk = max(final_risk, 0.70)</w:t>
      </w:r>
      <w:r w:rsidRPr="00E771FC">
        <w:rPr>
          <w:rFonts w:ascii="Times New Roman" w:hAnsi="Times New Roman" w:cs="Times New Roman"/>
          <w:color w:val="000000" w:themeColor="text1"/>
          <w:sz w:val="18"/>
        </w:rPr>
        <w:br/>
      </w:r>
      <w:r w:rsidRPr="00E771FC">
        <w:rPr>
          <w:rFonts w:ascii="Times New Roman" w:hAnsi="Times New Roman" w:cs="Times New Roman"/>
          <w:color w:val="000000" w:themeColor="text1"/>
          <w:sz w:val="18"/>
        </w:rPr>
        <w:lastRenderedPageBreak/>
        <w:t xml:space="preserve">        overrides.append('Hyperkalemia (K+ &gt; 6.0)')</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2: Severe hypoxia</w:t>
      </w:r>
      <w:r w:rsidRPr="00E771FC">
        <w:rPr>
          <w:rFonts w:ascii="Times New Roman" w:hAnsi="Times New Roman" w:cs="Times New Roman"/>
          <w:color w:val="000000" w:themeColor="text1"/>
          <w:sz w:val="18"/>
        </w:rPr>
        <w:br/>
        <w:t xml:space="preserve">    if patient_vitals['spo2'] &lt; 85:</w:t>
      </w:r>
      <w:r w:rsidRPr="00E771FC">
        <w:rPr>
          <w:rFonts w:ascii="Times New Roman" w:hAnsi="Times New Roman" w:cs="Times New Roman"/>
          <w:color w:val="000000" w:themeColor="text1"/>
          <w:sz w:val="18"/>
        </w:rPr>
        <w:br/>
        <w:t xml:space="preserve">        final_risk = max(final_risk, 0.75)</w:t>
      </w:r>
      <w:r w:rsidRPr="00E771FC">
        <w:rPr>
          <w:rFonts w:ascii="Times New Roman" w:hAnsi="Times New Roman" w:cs="Times New Roman"/>
          <w:color w:val="000000" w:themeColor="text1"/>
          <w:sz w:val="18"/>
        </w:rPr>
        <w:br/>
        <w:t xml:space="preserve">        overrides.append('Hypoxia (SpO2 &lt; 85%)')</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3: Profound shock</w:t>
      </w:r>
      <w:r w:rsidRPr="00E771FC">
        <w:rPr>
          <w:rFonts w:ascii="Times New Roman" w:hAnsi="Times New Roman" w:cs="Times New Roman"/>
          <w:color w:val="000000" w:themeColor="text1"/>
          <w:sz w:val="18"/>
        </w:rPr>
        <w:br/>
        <w:t xml:space="preserve">    if patient_vitals['sbp'] &lt; 70:</w:t>
      </w:r>
      <w:r w:rsidRPr="00E771FC">
        <w:rPr>
          <w:rFonts w:ascii="Times New Roman" w:hAnsi="Times New Roman" w:cs="Times New Roman"/>
          <w:color w:val="000000" w:themeColor="text1"/>
          <w:sz w:val="18"/>
        </w:rPr>
        <w:br/>
        <w:t xml:space="preserve">        final_risk = max(final_risk, 0.80)</w:t>
      </w:r>
      <w:r w:rsidRPr="00E771FC">
        <w:rPr>
          <w:rFonts w:ascii="Times New Roman" w:hAnsi="Times New Roman" w:cs="Times New Roman"/>
          <w:color w:val="000000" w:themeColor="text1"/>
          <w:sz w:val="18"/>
        </w:rPr>
        <w:br/>
        <w:t xml:space="preserve">        overrides.append('Shock (SBP &lt; 70)')</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4: Elevated lactate (tissue hypoxia)</w:t>
      </w:r>
      <w:r w:rsidRPr="00E771FC">
        <w:rPr>
          <w:rFonts w:ascii="Times New Roman" w:hAnsi="Times New Roman" w:cs="Times New Roman"/>
          <w:color w:val="000000" w:themeColor="text1"/>
          <w:sz w:val="18"/>
        </w:rPr>
        <w:br/>
        <w:t xml:space="preserve">    if patient_vitals['lactate'] &gt; 4.0:</w:t>
      </w:r>
      <w:r w:rsidRPr="00E771FC">
        <w:rPr>
          <w:rFonts w:ascii="Times New Roman" w:hAnsi="Times New Roman" w:cs="Times New Roman"/>
          <w:color w:val="000000" w:themeColor="text1"/>
          <w:sz w:val="18"/>
        </w:rPr>
        <w:br/>
        <w:t xml:space="preserve">        final_risk = max(final_risk, 0.65)</w:t>
      </w:r>
      <w:r w:rsidRPr="00E771FC">
        <w:rPr>
          <w:rFonts w:ascii="Times New Roman" w:hAnsi="Times New Roman" w:cs="Times New Roman"/>
          <w:color w:val="000000" w:themeColor="text1"/>
          <w:sz w:val="18"/>
        </w:rPr>
        <w:br/>
        <w:t xml:space="preserve">        overrides.append('Lactate &gt; 4.0')</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5: Severe bradycardia</w:t>
      </w:r>
      <w:r w:rsidRPr="00E771FC">
        <w:rPr>
          <w:rFonts w:ascii="Times New Roman" w:hAnsi="Times New Roman" w:cs="Times New Roman"/>
          <w:color w:val="000000" w:themeColor="text1"/>
          <w:sz w:val="18"/>
        </w:rPr>
        <w:br/>
        <w:t xml:space="preserve">    if patient_vitals['hr'] &lt; 40:</w:t>
      </w:r>
      <w:r w:rsidRPr="00E771FC">
        <w:rPr>
          <w:rFonts w:ascii="Times New Roman" w:hAnsi="Times New Roman" w:cs="Times New Roman"/>
          <w:color w:val="000000" w:themeColor="text1"/>
          <w:sz w:val="18"/>
        </w:rPr>
        <w:br/>
        <w:t xml:space="preserve">        final_risk = max(final_risk, 0.60)</w:t>
      </w:r>
      <w:r w:rsidRPr="00E771FC">
        <w:rPr>
          <w:rFonts w:ascii="Times New Roman" w:hAnsi="Times New Roman" w:cs="Times New Roman"/>
          <w:color w:val="000000" w:themeColor="text1"/>
          <w:sz w:val="18"/>
        </w:rPr>
        <w:br/>
        <w:t xml:space="preserve">        overrides.append('Bradycardia (HR &lt; 40)')</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 Rule 6: Unstable tachycardia with hypotension</w:t>
      </w:r>
      <w:r w:rsidRPr="00E771FC">
        <w:rPr>
          <w:rFonts w:ascii="Times New Roman" w:hAnsi="Times New Roman" w:cs="Times New Roman"/>
          <w:color w:val="000000" w:themeColor="text1"/>
          <w:sz w:val="18"/>
        </w:rPr>
        <w:br/>
        <w:t xml:space="preserve">    if patient_vitals['hr'] &gt; 150 and patient_vitals['sbp'] &lt; 90:</w:t>
      </w:r>
      <w:r w:rsidRPr="00E771FC">
        <w:rPr>
          <w:rFonts w:ascii="Times New Roman" w:hAnsi="Times New Roman" w:cs="Times New Roman"/>
          <w:color w:val="000000" w:themeColor="text1"/>
          <w:sz w:val="18"/>
        </w:rPr>
        <w:br/>
        <w:t xml:space="preserve">        final_risk = max(final_risk, 0.70)</w:t>
      </w:r>
      <w:r w:rsidRPr="00E771FC">
        <w:rPr>
          <w:rFonts w:ascii="Times New Roman" w:hAnsi="Times New Roman" w:cs="Times New Roman"/>
          <w:color w:val="000000" w:themeColor="text1"/>
          <w:sz w:val="18"/>
        </w:rPr>
        <w:br/>
        <w:t xml:space="preserve">        overrides.append('Unstable Tachycardia')</w:t>
      </w:r>
      <w:r w:rsidRPr="00E771FC">
        <w:rPr>
          <w:rFonts w:ascii="Times New Roman" w:hAnsi="Times New Roman" w:cs="Times New Roman"/>
          <w:color w:val="000000" w:themeColor="text1"/>
          <w:sz w:val="18"/>
        </w:rPr>
        <w:br/>
        <w:t xml:space="preserve">    </w:t>
      </w:r>
      <w:r w:rsidRPr="00E771FC">
        <w:rPr>
          <w:rFonts w:ascii="Times New Roman" w:hAnsi="Times New Roman" w:cs="Times New Roman"/>
          <w:color w:val="000000" w:themeColor="text1"/>
          <w:sz w:val="18"/>
        </w:rPr>
        <w:br/>
        <w:t xml:space="preserve">    was_overridden = len(overrides) &gt; 0</w:t>
      </w:r>
      <w:r w:rsidRPr="00E771FC">
        <w:rPr>
          <w:rFonts w:ascii="Times New Roman" w:hAnsi="Times New Roman" w:cs="Times New Roman"/>
          <w:color w:val="000000" w:themeColor="text1"/>
          <w:sz w:val="18"/>
        </w:rPr>
        <w:br/>
        <w:t xml:space="preserve">    return final_risk, was_overridden, overrides</w:t>
      </w:r>
      <w:r w:rsidRPr="00E771FC">
        <w:rPr>
          <w:rFonts w:ascii="Times New Roman" w:hAnsi="Times New Roman" w:cs="Times New Roman"/>
          <w:color w:val="000000" w:themeColor="text1"/>
          <w:sz w:val="18"/>
        </w:rPr>
        <w:br/>
      </w:r>
    </w:p>
    <w:p w14:paraId="546A28F1" w14:textId="77777777" w:rsidR="004076CC" w:rsidRPr="00E771FC" w:rsidRDefault="004076CC">
      <w:pPr>
        <w:rPr>
          <w:rFonts w:ascii="Times New Roman" w:hAnsi="Times New Roman" w:cs="Times New Roman"/>
          <w:color w:val="000000" w:themeColor="text1"/>
        </w:rPr>
      </w:pPr>
    </w:p>
    <w:p w14:paraId="07B18E87"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br w:type="page"/>
      </w:r>
    </w:p>
    <w:p w14:paraId="41B596E0"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5.7 Deployment XAI Dashboard</w:t>
      </w:r>
    </w:p>
    <w:p w14:paraId="6E69F44D"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noProof/>
          <w:color w:val="000000" w:themeColor="text1"/>
        </w:rPr>
        <w:drawing>
          <wp:inline distT="0" distB="0" distL="0" distR="0" wp14:anchorId="7F8AD013" wp14:editId="0B5D728D">
            <wp:extent cx="5486400" cy="45664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dashboard.png"/>
                    <pic:cNvPicPr/>
                  </pic:nvPicPr>
                  <pic:blipFill>
                    <a:blip r:embed="rId15"/>
                    <a:stretch>
                      <a:fillRect/>
                    </a:stretch>
                  </pic:blipFill>
                  <pic:spPr>
                    <a:xfrm>
                      <a:off x="0" y="0"/>
                      <a:ext cx="5486400" cy="4566492"/>
                    </a:xfrm>
                    <a:prstGeom prst="rect">
                      <a:avLst/>
                    </a:prstGeom>
                  </pic:spPr>
                </pic:pic>
              </a:graphicData>
            </a:graphic>
          </wp:inline>
        </w:drawing>
      </w:r>
    </w:p>
    <w:p w14:paraId="71CE2182" w14:textId="77777777" w:rsidR="004076CC" w:rsidRPr="00E771FC" w:rsidRDefault="00000000">
      <w:pPr>
        <w:jc w:val="center"/>
        <w:rPr>
          <w:rFonts w:ascii="Times New Roman" w:hAnsi="Times New Roman" w:cs="Times New Roman"/>
          <w:color w:val="000000" w:themeColor="text1"/>
        </w:rPr>
      </w:pPr>
      <w:r w:rsidRPr="00E771FC">
        <w:rPr>
          <w:rFonts w:ascii="Times New Roman" w:hAnsi="Times New Roman" w:cs="Times New Roman"/>
          <w:i/>
          <w:color w:val="000000" w:themeColor="text1"/>
        </w:rPr>
        <w:t>Figure 10: Deployment XAI Dashboard</w:t>
      </w:r>
    </w:p>
    <w:p w14:paraId="0BE87C07" w14:textId="77777777" w:rsidR="004076CC" w:rsidRPr="00E771FC" w:rsidRDefault="004076CC">
      <w:pPr>
        <w:rPr>
          <w:rFonts w:ascii="Times New Roman" w:hAnsi="Times New Roman" w:cs="Times New Roman"/>
          <w:color w:val="000000" w:themeColor="text1"/>
        </w:rPr>
      </w:pPr>
    </w:p>
    <w:p w14:paraId="70EADF7F" w14:textId="77777777" w:rsidR="004076CC" w:rsidRPr="00E771FC" w:rsidRDefault="00000000">
      <w:pPr>
        <w:pStyle w:val="Heading3"/>
        <w:rPr>
          <w:rFonts w:ascii="Times New Roman" w:hAnsi="Times New Roman" w:cs="Times New Roman"/>
          <w:color w:val="000000" w:themeColor="text1"/>
        </w:rPr>
      </w:pPr>
      <w:r w:rsidRPr="00E771FC">
        <w:rPr>
          <w:rFonts w:ascii="Times New Roman" w:hAnsi="Times New Roman" w:cs="Times New Roman"/>
          <w:color w:val="000000" w:themeColor="text1"/>
        </w:rPr>
        <w:t>Graph Explanation:</w:t>
      </w:r>
    </w:p>
    <w:p w14:paraId="7D8D0BDC"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This comprehensive 9-panel dashboard monitors the deployed Digital Twin: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Mortality Risk Distribution (Row 1, Col 1): Histogram of risk scores across 50 test patients. Most patients have very low risk (0.005-0.010), with some extending to 0.025. This left-skewed distribution reflects the 4.3% mortality rate in the population.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Risk &amp; Uncertainty Box Plot (Row 1, Col 2): Compares risk predictions vs. uncertainty. Risk is very low (median ~0.005) while uncertainty is also low (median ~0.007). The outlier circles show patients requiring attention.</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Risk Category Distribution (Row 1, Col 3): Bar chart showing risk stratification</w:t>
      </w:r>
      <w:r w:rsidRPr="00E771FC">
        <w:rPr>
          <w:rFonts w:ascii="Times New Roman" w:hAnsi="Times New Roman" w:cs="Times New Roman"/>
          <w:color w:val="000000" w:themeColor="text1"/>
        </w:rPr>
        <w:br/>
        <w:t xml:space="preserve">  - Low (&lt;0.3): ~48 patients (96%)</w:t>
      </w:r>
      <w:r w:rsidRPr="00E771FC">
        <w:rPr>
          <w:rFonts w:ascii="Times New Roman" w:hAnsi="Times New Roman" w:cs="Times New Roman"/>
          <w:color w:val="000000" w:themeColor="text1"/>
        </w:rPr>
        <w:br/>
        <w:t xml:space="preserve">  - Medium (0.3-0.6): 0 patients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lastRenderedPageBreak/>
        <w:t xml:space="preserve">  - High (&gt;0.6): 2 patients (4%)</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Safety Layer Outcomes (Row 2, Col 1): Shows 35 'Safe' vs. 13 'Override' predictions. The 26% override rate indicates active safety monitoring.</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Risk Before/After Safety (Row 2, Col 2): Scatter plot showing how safety layer modifies predictions. Most points cluster at low risk with no change. Red dots at (0.1, 0.8) show patients whose risk was elevated by safety overrides.</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Diabetic Safety Flags (Row 2, Col 3): Shows diabetes-specific safety concerns:</w:t>
      </w:r>
      <w:r w:rsidRPr="00E771FC">
        <w:rPr>
          <w:rFonts w:ascii="Times New Roman" w:hAnsi="Times New Roman" w:cs="Times New Roman"/>
          <w:color w:val="000000" w:themeColor="text1"/>
        </w:rPr>
        <w:br/>
        <w:t xml:space="preserve">  - Hypoglycemia: ~10 patients flagged (glucose &lt; 70 mg/dL)</w:t>
      </w:r>
      <w:r w:rsidRPr="00E771FC">
        <w:rPr>
          <w:rFonts w:ascii="Times New Roman" w:hAnsi="Times New Roman" w:cs="Times New Roman"/>
          <w:color w:val="000000" w:themeColor="text1"/>
        </w:rPr>
        <w:br/>
        <w:t xml:space="preserve">  - DKA: ~3 patients with diabetic ketoacidosis signs</w:t>
      </w:r>
      <w:r w:rsidRPr="00E771FC">
        <w:rPr>
          <w:rFonts w:ascii="Times New Roman" w:hAnsi="Times New Roman" w:cs="Times New Roman"/>
          <w:color w:val="000000" w:themeColor="text1"/>
        </w:rPr>
        <w:br/>
        <w:t xml:space="preserve">  - Hyperglycemia: ~1 patient with dangerous high glucose</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Risk vs Uncertainty by Glucose (Row 3, Col 1): Scatter plot colored by glucose level. Shows correlation between glucose control and prediction uncertainty.</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Key Correlation (Row 3, Col 2): Glucose-Risk correlation = 0.131. Positive but weak correlation suggests glucose is one of many factors affecting mortality risk.</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 Summary Statistics (Row 3, Col 3): Key deployment metrics:</w:t>
      </w:r>
      <w:r w:rsidRPr="00E771FC">
        <w:rPr>
          <w:rFonts w:ascii="Times New Roman" w:hAnsi="Times New Roman" w:cs="Times New Roman"/>
          <w:color w:val="000000" w:themeColor="text1"/>
        </w:rPr>
        <w:br/>
        <w:t xml:space="preserve">  - 50 patients simulated</w:t>
      </w:r>
      <w:r w:rsidRPr="00E771FC">
        <w:rPr>
          <w:rFonts w:ascii="Times New Roman" w:hAnsi="Times New Roman" w:cs="Times New Roman"/>
          <w:color w:val="000000" w:themeColor="text1"/>
        </w:rPr>
        <w:br/>
        <w:t xml:space="preserve">  - 13 overrides (26%)</w:t>
      </w:r>
      <w:r w:rsidRPr="00E771FC">
        <w:rPr>
          <w:rFonts w:ascii="Times New Roman" w:hAnsi="Times New Roman" w:cs="Times New Roman"/>
          <w:color w:val="000000" w:themeColor="text1"/>
        </w:rPr>
        <w:br/>
        <w:t xml:space="preserve">  - Mean risk: 0.005 (very low)</w:t>
      </w:r>
      <w:r w:rsidRPr="00E771FC">
        <w:rPr>
          <w:rFonts w:ascii="Times New Roman" w:hAnsi="Times New Roman" w:cs="Times New Roman"/>
          <w:color w:val="000000" w:themeColor="text1"/>
        </w:rPr>
        <w:br/>
        <w:t xml:space="preserve">  - Mean uncertainty: 0.008</w:t>
      </w:r>
    </w:p>
    <w:p w14:paraId="270CF986"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br w:type="page"/>
      </w:r>
    </w:p>
    <w:p w14:paraId="37CD543C" w14:textId="77777777" w:rsidR="004076CC" w:rsidRPr="00E771FC" w:rsidRDefault="00000000">
      <w:pPr>
        <w:pStyle w:val="Heading1"/>
        <w:rPr>
          <w:rFonts w:ascii="Times New Roman" w:hAnsi="Times New Roman" w:cs="Times New Roman"/>
          <w:color w:val="000000" w:themeColor="text1"/>
        </w:rPr>
      </w:pPr>
      <w:r w:rsidRPr="00E771FC">
        <w:rPr>
          <w:rFonts w:ascii="Times New Roman" w:hAnsi="Times New Roman" w:cs="Times New Roman"/>
          <w:color w:val="000000" w:themeColor="text1"/>
        </w:rPr>
        <w:lastRenderedPageBreak/>
        <w:t>6. Conclusions</w:t>
      </w:r>
    </w:p>
    <w:p w14:paraId="5B25515F"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6.1 Summary of Achievements</w:t>
      </w:r>
    </w:p>
    <w:p w14:paraId="41AF7F9B"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 Successfully implemented Liquid Mamba + GAT architecture for ICU mortality prediction</w:t>
      </w:r>
      <w:r w:rsidRPr="00E771FC">
        <w:rPr>
          <w:rFonts w:ascii="Times New Roman" w:hAnsi="Times New Roman" w:cs="Times New Roman"/>
          <w:color w:val="000000" w:themeColor="text1"/>
        </w:rPr>
        <w:br/>
        <w:t>• Achieved excellent discrimination (AUROC &gt; 0.92) on both training and deployment</w:t>
      </w:r>
      <w:r w:rsidRPr="00E771FC">
        <w:rPr>
          <w:rFonts w:ascii="Times New Roman" w:hAnsi="Times New Roman" w:cs="Times New Roman"/>
          <w:color w:val="000000" w:themeColor="text1"/>
        </w:rPr>
        <w:br/>
        <w:t>• Implemented comprehensive XAI with counterfactual explanations</w:t>
      </w:r>
      <w:r w:rsidRPr="00E771FC">
        <w:rPr>
          <w:rFonts w:ascii="Times New Roman" w:hAnsi="Times New Roman" w:cs="Times New Roman"/>
          <w:color w:val="000000" w:themeColor="text1"/>
        </w:rPr>
        <w:br/>
        <w:t>• Deployed safety layer with 100% precision for critical override decisions</w:t>
      </w:r>
      <w:r w:rsidRPr="00E771FC">
        <w:rPr>
          <w:rFonts w:ascii="Times New Roman" w:hAnsi="Times New Roman" w:cs="Times New Roman"/>
          <w:color w:val="000000" w:themeColor="text1"/>
        </w:rPr>
        <w:br/>
        <w:t>• Generated uncertainty-aware predictions with Monte Carlo Dropout</w:t>
      </w:r>
    </w:p>
    <w:p w14:paraId="04BF2BD6"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6.2 Clinical Implications</w:t>
      </w:r>
    </w:p>
    <w:p w14:paraId="35017201"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The system provides clinicians with:</w:t>
      </w:r>
      <w:r w:rsidRPr="00E771FC">
        <w:rPr>
          <w:rFonts w:ascii="Times New Roman" w:hAnsi="Times New Roman" w:cs="Times New Roman"/>
          <w:color w:val="000000" w:themeColor="text1"/>
        </w:rPr>
        <w:br/>
      </w:r>
      <w:r w:rsidRPr="00E771FC">
        <w:rPr>
          <w:rFonts w:ascii="Times New Roman" w:hAnsi="Times New Roman" w:cs="Times New Roman"/>
          <w:color w:val="000000" w:themeColor="text1"/>
        </w:rPr>
        <w:br/>
        <w:t>1. Risk stratification: Identify high-risk patients early</w:t>
      </w:r>
      <w:r w:rsidRPr="00E771FC">
        <w:rPr>
          <w:rFonts w:ascii="Times New Roman" w:hAnsi="Times New Roman" w:cs="Times New Roman"/>
          <w:color w:val="000000" w:themeColor="text1"/>
        </w:rPr>
        <w:br/>
        <w:t>2. Uncertainty quantification: Know when predictions are unreliable</w:t>
      </w:r>
      <w:r w:rsidRPr="00E771FC">
        <w:rPr>
          <w:rFonts w:ascii="Times New Roman" w:hAnsi="Times New Roman" w:cs="Times New Roman"/>
          <w:color w:val="000000" w:themeColor="text1"/>
        </w:rPr>
        <w:br/>
        <w:t>3. Explainability: Understand what factors drive predictions</w:t>
      </w:r>
      <w:r w:rsidRPr="00E771FC">
        <w:rPr>
          <w:rFonts w:ascii="Times New Roman" w:hAnsi="Times New Roman" w:cs="Times New Roman"/>
          <w:color w:val="000000" w:themeColor="text1"/>
        </w:rPr>
        <w:br/>
        <w:t>4. Safety guardrails: Prevent dangerous recommendations</w:t>
      </w:r>
    </w:p>
    <w:p w14:paraId="137F7239" w14:textId="77777777" w:rsidR="004076CC" w:rsidRPr="00E771FC" w:rsidRDefault="00000000">
      <w:pPr>
        <w:pStyle w:val="Heading2"/>
        <w:rPr>
          <w:rFonts w:ascii="Times New Roman" w:hAnsi="Times New Roman" w:cs="Times New Roman"/>
          <w:color w:val="000000" w:themeColor="text1"/>
        </w:rPr>
      </w:pPr>
      <w:r w:rsidRPr="00E771FC">
        <w:rPr>
          <w:rFonts w:ascii="Times New Roman" w:hAnsi="Times New Roman" w:cs="Times New Roman"/>
          <w:color w:val="000000" w:themeColor="text1"/>
        </w:rPr>
        <w:t>6.3 Future Work</w:t>
      </w:r>
    </w:p>
    <w:p w14:paraId="1B4DB0BA" w14:textId="77777777" w:rsidR="004076CC" w:rsidRPr="00E771FC" w:rsidRDefault="00000000">
      <w:pPr>
        <w:rPr>
          <w:rFonts w:ascii="Times New Roman" w:hAnsi="Times New Roman" w:cs="Times New Roman"/>
          <w:color w:val="000000" w:themeColor="text1"/>
        </w:rPr>
      </w:pPr>
      <w:r w:rsidRPr="00E771FC">
        <w:rPr>
          <w:rFonts w:ascii="Times New Roman" w:hAnsi="Times New Roman" w:cs="Times New Roman"/>
          <w:color w:val="000000" w:themeColor="text1"/>
        </w:rPr>
        <w:t>• Phase 3: Human-in-the-loop learning with clinician feedback</w:t>
      </w:r>
      <w:r w:rsidRPr="00E771FC">
        <w:rPr>
          <w:rFonts w:ascii="Times New Roman" w:hAnsi="Times New Roman" w:cs="Times New Roman"/>
          <w:color w:val="000000" w:themeColor="text1"/>
        </w:rPr>
        <w:br/>
        <w:t>• Phase 4: Continual knowledge base updating</w:t>
      </w:r>
      <w:r w:rsidRPr="00E771FC">
        <w:rPr>
          <w:rFonts w:ascii="Times New Roman" w:hAnsi="Times New Roman" w:cs="Times New Roman"/>
          <w:color w:val="000000" w:themeColor="text1"/>
        </w:rPr>
        <w:br/>
        <w:t>• Phase 5: Multi-site validation across different hospitals</w:t>
      </w:r>
      <w:r w:rsidRPr="00E771FC">
        <w:rPr>
          <w:rFonts w:ascii="Times New Roman" w:hAnsi="Times New Roman" w:cs="Times New Roman"/>
          <w:color w:val="000000" w:themeColor="text1"/>
        </w:rPr>
        <w:br/>
        <w:t>• Phase 6: Real-time deployment architecture</w:t>
      </w:r>
    </w:p>
    <w:sectPr w:rsidR="004076CC" w:rsidRPr="00E771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193875">
    <w:abstractNumId w:val="8"/>
  </w:num>
  <w:num w:numId="2" w16cid:durableId="178398142">
    <w:abstractNumId w:val="6"/>
  </w:num>
  <w:num w:numId="3" w16cid:durableId="824668861">
    <w:abstractNumId w:val="5"/>
  </w:num>
  <w:num w:numId="4" w16cid:durableId="1791894393">
    <w:abstractNumId w:val="4"/>
  </w:num>
  <w:num w:numId="5" w16cid:durableId="1432314881">
    <w:abstractNumId w:val="7"/>
  </w:num>
  <w:num w:numId="6" w16cid:durableId="1070662145">
    <w:abstractNumId w:val="3"/>
  </w:num>
  <w:num w:numId="7" w16cid:durableId="1741949132">
    <w:abstractNumId w:val="2"/>
  </w:num>
  <w:num w:numId="8" w16cid:durableId="229461638">
    <w:abstractNumId w:val="1"/>
  </w:num>
  <w:num w:numId="9" w16cid:durableId="204957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EC8"/>
    <w:rsid w:val="0015074B"/>
    <w:rsid w:val="0029639D"/>
    <w:rsid w:val="00326F90"/>
    <w:rsid w:val="004076CC"/>
    <w:rsid w:val="00455EF1"/>
    <w:rsid w:val="0060427B"/>
    <w:rsid w:val="008D6998"/>
    <w:rsid w:val="00AA1D8D"/>
    <w:rsid w:val="00B10232"/>
    <w:rsid w:val="00B47730"/>
    <w:rsid w:val="00B67815"/>
    <w:rsid w:val="00C75B1A"/>
    <w:rsid w:val="00CB0664"/>
    <w:rsid w:val="00E77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74B82"/>
  <w14:defaultImageDpi w14:val="300"/>
  <w15:docId w15:val="{877DE18B-09FD-4FFD-8E82-83927442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2828</Words>
  <Characters>16124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Kesava Datta Garlapati (B.Tech_2027)</cp:lastModifiedBy>
  <cp:revision>8</cp:revision>
  <dcterms:created xsi:type="dcterms:W3CDTF">2013-12-23T23:15:00Z</dcterms:created>
  <dcterms:modified xsi:type="dcterms:W3CDTF">2026-01-25T15:18:00Z</dcterms:modified>
  <cp:category/>
</cp:coreProperties>
</file>