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Default="00346AFC" w:rsidP="00B85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F9E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D349FF" w:rsidRDefault="007C73E9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[1] E.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Choi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Schuetz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W. F. Stewart, and J. Sun, ‘‘Using recurrent neural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network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models for early detection of heart failure onset,’’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J. Amer. Med.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i/>
          <w:iCs/>
          <w:sz w:val="28"/>
          <w:szCs w:val="28"/>
        </w:rPr>
        <w:t>Inform. Assoc.</w:t>
      </w:r>
      <w:r w:rsidRPr="00D349FF">
        <w:rPr>
          <w:rFonts w:ascii="Times New Roman" w:hAnsi="Times New Roman" w:cs="Times New Roman"/>
          <w:sz w:val="28"/>
          <w:szCs w:val="28"/>
        </w:rPr>
        <w:t>, vol. 24, no. 2, pp. 361–370, Mar. 2017.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[2] K.W. Johnson, J. T. Soto, B. S.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Glicksberg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K.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Shameer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Miotto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M. Ali,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E. Ashley, and J. T. Dudley, ‘‘Artificial intelligence in cardiology,’’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J. Amer.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College </w:t>
      </w: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Cardiol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vol. 71, pp. 2668–2679, Jun. 2018.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[3] C.-M. Yu, L. Wang, E.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Chau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H.-W.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Chan, S.-L.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Kong, M.-O.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Tang,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J. Christensen, R.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Stadler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 C.-P. Lau, ‘‘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Intrathoracic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impedance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monitoring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in patients with heart failure: Correlation with fluid status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feasibility of early warning preceding hospitalization,’’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Circulation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vol. 112, no. 6, pp. 841–848, Aug. 2005.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[4] C. P.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R.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Localio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K. E. Roberts, V.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Nadkarni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C.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Weirich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R.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Keren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‘‘Impact of rapid response system implementation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critical deterioration events in children,’’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JAMA Pediatrics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vol. 168, no. 1, pp. 25–33, 2014.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[5] S. A. Bernard, T. W. Gray, M. D.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Buist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B. M. Jones,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Silvester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G.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Gutteridge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 K. Smith, ‘‘Treatment of comatose survivors of out-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ofhospital</w:t>
      </w:r>
      <w:proofErr w:type="spell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cardiac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arrest with induced hypothermia,’’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New England J. Med.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vol. 346, no. 8, pp. 557–563, Feb. 2002.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[6] Z. I.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Attia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P.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Noseworthy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F. Lopez-Jimenez, S.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Asirvatham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A.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Deshmukh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B.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Gersh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E. Carter, X. Yao, A.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Rabinstein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B. J. Erickson, S.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Kapa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P. A. Friedman,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‘‘An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artificial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intelligenceenabled</w:t>
      </w:r>
      <w:proofErr w:type="spell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ECG algorithm for the identification of patients with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atrial</w:t>
      </w:r>
      <w:proofErr w:type="spell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fibrillation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during sinus rhythm: A retrospective analysis of outcome prediction,’’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i/>
          <w:iCs/>
          <w:sz w:val="28"/>
          <w:szCs w:val="28"/>
        </w:rPr>
        <w:t>Lancet</w:t>
      </w:r>
      <w:r w:rsidRPr="00D349FF">
        <w:rPr>
          <w:rFonts w:ascii="Times New Roman" w:hAnsi="Times New Roman" w:cs="Times New Roman"/>
          <w:sz w:val="28"/>
          <w:szCs w:val="28"/>
        </w:rPr>
        <w:t>, vol. 394, no. 10201, pp. 861–867, Sep. 2019.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lastRenderedPageBreak/>
        <w:t xml:space="preserve">[7]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Rajkomar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et al., ‘‘Scalable and accurate deep learning with electronic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health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records,’’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NPJ Digit. </w:t>
      </w:r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Med.</w:t>
      </w:r>
      <w:r w:rsidRPr="00D349FF">
        <w:rPr>
          <w:rFonts w:ascii="Times New Roman" w:hAnsi="Times New Roman" w:cs="Times New Roman"/>
          <w:sz w:val="28"/>
          <w:szCs w:val="28"/>
        </w:rPr>
        <w:t>, vol. 1, no. 1, p. 18, 2018.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[8] O. Bernard et al., ‘‘Deep learning techniques for automatic MRI cardiac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multi-structures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segmentation and diagnosis: Is the problem solved?’’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IEEE Trans. Med. </w:t>
      </w:r>
      <w:proofErr w:type="spell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Imag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 vol. 37, no. 11, pp. 2514–2525, Nov. 2018.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[9] T. J. Pollard, A. E. W. Johnson, J. D.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Raffa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L.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Celi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R. G. Mark, and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O.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Badawi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‘‘The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eICU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collaborative research database, a freely available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multi-center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database for critical care research,’’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Sci. Data</w:t>
      </w:r>
      <w:r w:rsidRPr="00D349FF">
        <w:rPr>
          <w:rFonts w:ascii="Times New Roman" w:hAnsi="Times New Roman" w:cs="Times New Roman"/>
          <w:sz w:val="28"/>
          <w:szCs w:val="28"/>
        </w:rPr>
        <w:t>, vol. 5, no. 1,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pp. 1–13, Sep. 2018. [10] E. Christodoulou, J. Ma, G. S. Collins, E.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Steyerberg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J. Y.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Verbakel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B. Van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Calster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‘‘A systematic review shows no performance benefit of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machine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learning over logistic regression for clinical prediction models,’’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J. </w:t>
      </w:r>
      <w:proofErr w:type="spell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Clin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Epidemiol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vol. 110, pp. 12–22, Jun. 2019.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[11] J. Huang, C. Osorio, and L.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‘‘An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empirical evaluation of deep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for ICD-9 code assignment using MIMIC-III clinical notes,’’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 Methods Programs </w:t>
      </w:r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Biomed.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vol. 177, pp. 141–153, Aug. 2019.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[12] M.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Kalscheur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T.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Kipp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M. C.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Tattersall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C. Mei, K.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Buhr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D. L.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DeMets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M. E. Field, L. L.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Eckhardt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 C. D. Page, ‘‘Machine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algorithm predicts cardiac resynchronization therapy outcomes: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Lessons from the COMPANION trial,’’ </w:t>
      </w: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Circulat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.,</w:t>
      </w:r>
      <w:proofErr w:type="gramEnd"/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 Arrhythmia </w:t>
      </w:r>
      <w:proofErr w:type="spell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Electrophysiol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vol. 11, no. 1, Jan. 2018, Art.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no. e005499.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[13] C.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Krittanawong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H. Zhang, Z. Wang,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Aydar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T.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Kitai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‘‘Artificial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intelligence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in precision cardiovascular medicine,’’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J. Amer. College </w:t>
      </w:r>
      <w:proofErr w:type="spell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Cardiol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vol. 69, no. 21, pp. 2657–2664, 2017.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[14] R.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Miotto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F. Wang, S. Wang, X. Jiang, and J. T. Dudley, ‘‘Deep learning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healthcare: Review, opportunities and challenges,’’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Briefings </w:t>
      </w:r>
      <w:proofErr w:type="spell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Bioinf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vol. 19, no. 6, pp. 1236–1246, Nov. 2018.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lastRenderedPageBreak/>
        <w:t xml:space="preserve">[15] D. L. Atkins, S. Everson-Stewart, G. K. Sears,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Daya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M. H. Osmond,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C. R. Warden, and R. A. Berg, ‘‘Epidemiology and outcomes from out-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ofhospital</w:t>
      </w:r>
      <w:proofErr w:type="spell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cardiac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arrest in children: The resuscitation outcomes consortium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49FF">
        <w:rPr>
          <w:rFonts w:ascii="Times New Roman" w:hAnsi="Times New Roman" w:cs="Times New Roman"/>
          <w:sz w:val="28"/>
          <w:szCs w:val="28"/>
        </w:rPr>
        <w:t>epistry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–cardiac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arrest,’’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Circulation</w:t>
      </w:r>
      <w:r w:rsidRPr="00D349FF">
        <w:rPr>
          <w:rFonts w:ascii="Times New Roman" w:hAnsi="Times New Roman" w:cs="Times New Roman"/>
          <w:sz w:val="28"/>
          <w:szCs w:val="28"/>
        </w:rPr>
        <w:t>, vol. 119, no. 11, pp. 1484–1491,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Mar. 2009.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[16] V.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Nadkarni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G. L. Larkin, M.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Peberdy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S. M. Carey, W. Kaye,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M. E. Mancini, and G. Nichol, ‘‘First documented rhythm and clinical outcome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in-hospital cardiac arrest among children and adults,’’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JAMA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vol. 295, no. 1, pp. 50–57, 2006.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[17] P. S. Chan, R. Jain, B. K.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Nallmothu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A. Berg, and C.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Sasson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‘‘Rapid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response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teams: A systematic review and meta-analysis,’’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Arch. Internal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Med.</w:t>
      </w:r>
      <w:r w:rsidRPr="00D349FF">
        <w:rPr>
          <w:rFonts w:ascii="Times New Roman" w:hAnsi="Times New Roman" w:cs="Times New Roman"/>
          <w:sz w:val="28"/>
          <w:szCs w:val="28"/>
        </w:rPr>
        <w:t>, vol. 170, no. 1, pp. 18–26, 2010.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[18] B.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Shickel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P.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Tighe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Bihorac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P.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Rashidi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‘‘Deep EHR: A survey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recent advances in deep learning techniques for electronic health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record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(EHR) analysis,’’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IEEE J. Biomed. Health </w:t>
      </w: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Informat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349F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vol. 22, no. 5,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pp. 1589–1604, Sep. 2018.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[19] J. H.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Kilgannon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E. Jones, N. I. Shapiro, M. G.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Angelos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Milcarek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K. Hunter, and J. E.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Parrillo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S.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Trzeciak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‘‘Association between arterial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49FF">
        <w:rPr>
          <w:rFonts w:ascii="Times New Roman" w:hAnsi="Times New Roman" w:cs="Times New Roman"/>
          <w:sz w:val="28"/>
          <w:szCs w:val="28"/>
        </w:rPr>
        <w:t>hyperoxia</w:t>
      </w:r>
      <w:proofErr w:type="spellEnd"/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following resuscitation from cardiac arrest and in-hospital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mortality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JAMA</w:t>
      </w:r>
      <w:r w:rsidRPr="00D349FF">
        <w:rPr>
          <w:rFonts w:ascii="Times New Roman" w:hAnsi="Times New Roman" w:cs="Times New Roman"/>
          <w:sz w:val="28"/>
          <w:szCs w:val="28"/>
        </w:rPr>
        <w:t>, vol. 303, no. 21, pp. 2165–2171, 2010.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[20]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Abdelghany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Abdelhamid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Allam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E. A. El, S. Hafez, H.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Ragy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Sobhy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‘‘Detection and diagnosis of cardiac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amyloidosis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in Egypt,’’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Cardiol</w:t>
      </w:r>
      <w:proofErr w:type="spellEnd"/>
      <w:r w:rsidRPr="00D349FF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D349FF">
        <w:rPr>
          <w:rFonts w:ascii="Times New Roman" w:hAnsi="Times New Roman" w:cs="Times New Roman"/>
          <w:i/>
          <w:iCs/>
          <w:sz w:val="28"/>
          <w:szCs w:val="28"/>
        </w:rPr>
        <w:t xml:space="preserve"> Therapy</w:t>
      </w:r>
      <w:r w:rsidRPr="00D349FF">
        <w:rPr>
          <w:rFonts w:ascii="Times New Roman" w:hAnsi="Times New Roman" w:cs="Times New Roman"/>
          <w:sz w:val="28"/>
          <w:szCs w:val="28"/>
        </w:rPr>
        <w:t>, vol. 12, pp. 1–17, Jan. 2023.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[21] M. A. Carlisle, 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Fudim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A. D.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DeVore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and J. P.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Piccini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‘‘Heart failure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atrial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fibrillation, like fire and fury,’’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JACC, Heart Failure</w:t>
      </w:r>
      <w:r w:rsidRPr="00D349FF">
        <w:rPr>
          <w:rFonts w:ascii="Times New Roman" w:hAnsi="Times New Roman" w:cs="Times New Roman"/>
          <w:sz w:val="28"/>
          <w:szCs w:val="28"/>
        </w:rPr>
        <w:t>, vol. 7, no. 6,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>pp. 447–456, Jun. 2019.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[22] H.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Yaku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T. Kato, T. Morimoto, Y.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Inuzuka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Y. Tamaki, N.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Ozasa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lastRenderedPageBreak/>
        <w:t xml:space="preserve">E. Yamamoto, Y. Yoshikawa, T.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Kitai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M. Kato, T. Ikeda, Y. Furukawa,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Y. Nakagawa, Y. Sato, K.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Kuwahara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 T. Kimura, ‘‘Risk factors and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clinical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outcomes of functional decline during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hospitalisation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in very old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patients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with acute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decompensated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heart failure: An observational study,’’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BMJ Open</w:t>
      </w:r>
      <w:r w:rsidRPr="00D349FF">
        <w:rPr>
          <w:rFonts w:ascii="Times New Roman" w:hAnsi="Times New Roman" w:cs="Times New Roman"/>
          <w:sz w:val="28"/>
          <w:szCs w:val="28"/>
        </w:rPr>
        <w:t>, vol. 10, no. 2, Feb. 2020, Art.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49FF">
        <w:rPr>
          <w:rFonts w:ascii="Times New Roman" w:hAnsi="Times New Roman" w:cs="Times New Roman"/>
          <w:sz w:val="28"/>
          <w:szCs w:val="28"/>
        </w:rPr>
        <w:t>no. e032674.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[23] G. C.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Fonarow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K. F. Adams, W. T. Abraham, C.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Yancy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W.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Boscardin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‘‘Risk stratification for in-hospital mortality in acutely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49FF">
        <w:rPr>
          <w:rFonts w:ascii="Times New Roman" w:hAnsi="Times New Roman" w:cs="Times New Roman"/>
          <w:sz w:val="28"/>
          <w:szCs w:val="28"/>
        </w:rPr>
        <w:t>decompensated</w:t>
      </w:r>
      <w:proofErr w:type="spellEnd"/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heart failure: Classification and regression tree analysis,’’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i/>
          <w:iCs/>
          <w:sz w:val="28"/>
          <w:szCs w:val="28"/>
        </w:rPr>
        <w:t>JAMA</w:t>
      </w:r>
      <w:r w:rsidRPr="00D349FF">
        <w:rPr>
          <w:rFonts w:ascii="Times New Roman" w:hAnsi="Times New Roman" w:cs="Times New Roman"/>
          <w:sz w:val="28"/>
          <w:szCs w:val="28"/>
        </w:rPr>
        <w:t>, vol. 293, no. 5, pp. 572–580, 2005.</w:t>
      </w:r>
      <w:proofErr w:type="gram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[24] M. G.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Gaies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J. G. Gurney, A. H. Yen, M. L. Napoli, R. J.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Gajarski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R. G.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Ohye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J. R.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Charpie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and J. C. Hirsch, ‘‘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Vasoactive-inotropic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 score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a predictor of morbidity and mortality in infants after cardiopulmonary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bypass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Pediatric Crit. Care Med.</w:t>
      </w:r>
      <w:r w:rsidRPr="00D349FF">
        <w:rPr>
          <w:rFonts w:ascii="Times New Roman" w:hAnsi="Times New Roman" w:cs="Times New Roman"/>
          <w:sz w:val="28"/>
          <w:szCs w:val="28"/>
        </w:rPr>
        <w:t>, vol. 11, no. 2, pp. 234–238, 2010.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[25] S. J. Shah, D. H. Katz, S.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Selvaraj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M. A. Burke, C. W.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Yancy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</w:t>
      </w:r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9FF">
        <w:rPr>
          <w:rFonts w:ascii="Times New Roman" w:hAnsi="Times New Roman" w:cs="Times New Roman"/>
          <w:sz w:val="28"/>
          <w:szCs w:val="28"/>
        </w:rPr>
        <w:t xml:space="preserve">M.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Gheorghiade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R. O.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Bonow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 xml:space="preserve">, C.-C. Huang, and R. C. 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Deo</w:t>
      </w:r>
      <w:proofErr w:type="spellEnd"/>
      <w:r w:rsidRPr="00D349FF">
        <w:rPr>
          <w:rFonts w:ascii="Times New Roman" w:hAnsi="Times New Roman" w:cs="Times New Roman"/>
          <w:sz w:val="28"/>
          <w:szCs w:val="28"/>
        </w:rPr>
        <w:t>, ‘‘</w:t>
      </w:r>
      <w:proofErr w:type="spellStart"/>
      <w:r w:rsidRPr="00D349FF">
        <w:rPr>
          <w:rFonts w:ascii="Times New Roman" w:hAnsi="Times New Roman" w:cs="Times New Roman"/>
          <w:sz w:val="28"/>
          <w:szCs w:val="28"/>
        </w:rPr>
        <w:t>Phenomapping</w:t>
      </w:r>
      <w:proofErr w:type="spellEnd"/>
    </w:p>
    <w:p w:rsidR="00D349FF" w:rsidRPr="00D349FF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 novel classification of heart failure with preserved ejection</w:t>
      </w:r>
    </w:p>
    <w:p w:rsidR="00CB3ADD" w:rsidRPr="00B85F9E" w:rsidRDefault="00D349FF" w:rsidP="00D349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349FF">
        <w:rPr>
          <w:rFonts w:ascii="Times New Roman" w:hAnsi="Times New Roman" w:cs="Times New Roman"/>
          <w:sz w:val="28"/>
          <w:szCs w:val="28"/>
        </w:rPr>
        <w:t>fraction</w:t>
      </w:r>
      <w:proofErr w:type="gramEnd"/>
      <w:r w:rsidRPr="00D349FF">
        <w:rPr>
          <w:rFonts w:ascii="Times New Roman" w:hAnsi="Times New Roman" w:cs="Times New Roman"/>
          <w:sz w:val="28"/>
          <w:szCs w:val="28"/>
        </w:rPr>
        <w:t xml:space="preserve">,’’ </w:t>
      </w:r>
      <w:r w:rsidRPr="00D349FF">
        <w:rPr>
          <w:rFonts w:ascii="Times New Roman" w:hAnsi="Times New Roman" w:cs="Times New Roman"/>
          <w:i/>
          <w:iCs/>
          <w:sz w:val="28"/>
          <w:szCs w:val="28"/>
        </w:rPr>
        <w:t>Circulation</w:t>
      </w:r>
      <w:r w:rsidRPr="00D349FF">
        <w:rPr>
          <w:rFonts w:ascii="Times New Roman" w:hAnsi="Times New Roman" w:cs="Times New Roman"/>
          <w:sz w:val="28"/>
          <w:szCs w:val="28"/>
        </w:rPr>
        <w:t>, vol. 131, no. 3, pp. 269–279, Jan. 2015</w:t>
      </w:r>
    </w:p>
    <w:sectPr w:rsidR="00CB3ADD" w:rsidRPr="00B85F9E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1F3D18"/>
    <w:rsid w:val="00205015"/>
    <w:rsid w:val="002B2850"/>
    <w:rsid w:val="00346AFC"/>
    <w:rsid w:val="00392416"/>
    <w:rsid w:val="003C0441"/>
    <w:rsid w:val="004D35B6"/>
    <w:rsid w:val="00547E56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349FF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2023-11-14T10:32:00Z</dcterms:modified>
</cp:coreProperties>
</file>