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4174"/>
        </w:rPr>
        <w:t>Service Contract Review Checklist</w:t>
      </w:r>
    </w:p>
    <w:p>
      <w:r>
        <w:t>Use this checklist before signing or renewing a facility services contract. Tick each item, note the owner and the date.</w:t>
      </w:r>
    </w:p>
    <w:p>
      <w:pPr>
        <w:pStyle w:val="Heading2"/>
      </w:pPr>
      <w:r>
        <w:t>Scope and service levels</w:t>
      </w:r>
    </w:p>
    <w:p>
      <w:pPr>
        <w:pStyle w:val="ListBullet"/>
      </w:pPr>
      <w:r>
        <w:t>Scope lists every area, asset class and shift covered, with exclusions stated</w:t>
      </w:r>
    </w:p>
    <w:p>
      <w:pPr>
        <w:pStyle w:val="ListBullet"/>
      </w:pPr>
      <w:r>
        <w:t>Response and resolution times by priority, with how they are measured</w:t>
      </w:r>
    </w:p>
    <w:p>
      <w:pPr>
        <w:pStyle w:val="ListBullet"/>
      </w:pPr>
      <w:r>
        <w:t>Service credits apply automatically, not on request</w:t>
      </w:r>
    </w:p>
    <w:p>
      <w:pPr>
        <w:pStyle w:val="Heading2"/>
      </w:pPr>
      <w:r>
        <w:t>Commercials</w:t>
      </w:r>
    </w:p>
    <w:p>
      <w:pPr>
        <w:pStyle w:val="ListBullet"/>
      </w:pPr>
      <w:r>
        <w:t>Price basis (fixed, unit rate, cost-plus) and what triggers a change</w:t>
      </w:r>
    </w:p>
    <w:p>
      <w:pPr>
        <w:pStyle w:val="ListBullet"/>
      </w:pPr>
      <w:r>
        <w:t>Escalation clause tied to a published index, with a cap</w:t>
      </w:r>
    </w:p>
    <w:p>
      <w:pPr>
        <w:pStyle w:val="ListBullet"/>
      </w:pPr>
      <w:r>
        <w:t>Payment terms, retention and set-off rights</w:t>
      </w:r>
    </w:p>
    <w:p>
      <w:pPr>
        <w:pStyle w:val="Heading2"/>
      </w:pPr>
      <w:r>
        <w:t>People and compliance</w:t>
      </w:r>
    </w:p>
    <w:p>
      <w:pPr>
        <w:pStyle w:val="ListBullet"/>
      </w:pPr>
      <w:r>
        <w:t>Minimum wage, PF/ESI and statutory compliance evidence monthly</w:t>
      </w:r>
    </w:p>
    <w:p>
      <w:pPr>
        <w:pStyle w:val="ListBullet"/>
      </w:pPr>
      <w:r>
        <w:t>Background verification and training records for site staff</w:t>
      </w:r>
    </w:p>
    <w:p>
      <w:pPr>
        <w:pStyle w:val="ListBullet"/>
      </w:pPr>
      <w:r>
        <w:t>Insurance certificates and incident reporting duties</w:t>
      </w:r>
    </w:p>
    <w:p>
      <w:pPr>
        <w:pStyle w:val="Heading2"/>
      </w:pPr>
      <w:r>
        <w:t>Exit</w:t>
      </w:r>
    </w:p>
    <w:p>
      <w:pPr>
        <w:pStyle w:val="ListBullet"/>
      </w:pPr>
      <w:r>
        <w:t>Notice periods, step-in rights and a handover obligation</w:t>
      </w:r>
    </w:p>
    <w:p>
      <w:pPr>
        <w:pStyle w:val="ListBullet"/>
      </w:pPr>
      <w:r>
        <w:t>Return of keys, access cards, data and asset registers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Scope schedule agreed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SLA schedule agreed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Legal review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Contract Review Checklist</dc:title>
  <dc:subject/>
  <dc:creator>ICR Digital Library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