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2761"/>
          <w:sz w:val="44"/>
          <w:szCs w:val="44"/>
        </w:rPr>
        <w:t xml:space="preserve">AI-Powered Banking Support &amp;</w:t>
      </w:r>
    </w:p>
    <w:p>
      <w:pPr>
        <w:spacing w:after="400"/>
        <w:jc w:val="center"/>
      </w:pPr>
      <w:r>
        <w:rPr>
          <w:b/>
          <w:bCs/>
          <w:color w:val="1E2761"/>
          <w:sz w:val="44"/>
          <w:szCs w:val="44"/>
        </w:rPr>
        <w:t xml:space="preserve">Fraud Intelligence System using NLP + RAG</w:t>
      </w:r>
    </w:p>
    <w:p>
      <w:pPr>
        <w:spacing w:after="800"/>
        <w:jc w:val="center"/>
      </w:pPr>
      <w:r>
        <w:rPr>
          <w:i/>
          <w:iCs/>
          <w:color w:val="595959"/>
          <w:sz w:val="28"/>
          <w:szCs w:val="28"/>
        </w:rPr>
        <w:t xml:space="preserve">Capstone Project Report</w:t>
      </w:r>
    </w:p>
    <w:p>
      <w:pPr>
        <w:spacing w:before="1600"/>
        <w:jc w:val="center"/>
      </w:pPr>
      <w:r>
        <w:rPr>
          <w:color w:val="595959"/>
          <w:sz w:val="22"/>
          <w:szCs w:val="22"/>
        </w:rPr>
        <w:t xml:space="preserve">Submitted by</w:t>
      </w:r>
    </w:p>
    <w:p>
      <w:pPr>
        <w:spacing w:after="100"/>
        <w:jc w:val="center"/>
      </w:pPr>
      <w:r>
        <w:rPr>
          <w:b/>
          <w:bCs/>
          <w:color w:val="1E2761"/>
          <w:sz w:val="32"/>
          <w:szCs w:val="32"/>
        </w:rPr>
        <w:t xml:space="preserve">Lakshana Murugesan</w:t>
      </w:r>
    </w:p>
    <w:p>
      <w:pPr>
        <w:spacing w:after="800"/>
        <w:jc w:val="center"/>
      </w:pPr>
      <w:r>
        <w:rPr>
          <w:color w:val="595959"/>
          <w:sz w:val="20"/>
          <w:szCs w:val="20"/>
        </w:rPr>
        <w:t xml:space="preserve">Domain: Banking &amp; Finance</w:t>
      </w:r>
    </w:p>
    <w:p>
      <w:pPr>
        <w:jc w:val="center"/>
      </w:pPr>
      <w:r>
        <w:rPr>
          <w:color w:val="595959"/>
          <w:sz w:val="18"/>
          <w:szCs w:val="18"/>
        </w:rPr>
        <w:t xml:space="preserve">GUVI × HCL — Skill Up. Level Up.</w:t>
      </w:r>
    </w:p>
    <w:p>
      <w:pPr>
        <w:jc w:val="center"/>
      </w:pPr>
      <w:r>
        <w:rPr>
          <w:color w:val="595959"/>
          <w:sz w:val="16"/>
          <w:szCs w:val="16"/>
        </w:rPr>
        <w:t xml:space="preserve">GitHub: github.com/Lakshu27/powered-Banking-Support-Fraud-Intelligence</w:t>
      </w:r>
    </w:p>
    <w:p>
      <w:r>
        <w:br w:type="page"/>
      </w:r>
    </w:p>
    <w:p>
      <w:pPr>
        <w:pStyle w:val="Heading1"/>
        <w:spacing w:after="200" w:before="400"/>
      </w:pPr>
      <w:r>
        <w:t xml:space="preserve">1. Problem Statement</w:t>
      </w:r>
    </w:p>
    <w:p>
      <w:pPr>
        <w:spacing w:after="150"/>
      </w:pPr>
      <w:r>
        <w:t xml:space="preserve">Banks and financial institutions receive large volumes of customer queries daily related to:</w:t>
      </w:r>
    </w:p>
    <w:p>
      <w:pPr>
        <w:pStyle w:val="ListParagraph"/>
        <w:numPr>
          <w:ilvl w:val="0"/>
          <w:numId w:val="2"/>
        </w:numPr>
        <w:spacing w:after="80"/>
      </w:pPr>
      <w:r>
        <w:t xml:space="preserve">Unauthorized transactions</w:t>
      </w:r>
    </w:p>
    <w:p>
      <w:pPr>
        <w:pStyle w:val="ListParagraph"/>
        <w:numPr>
          <w:ilvl w:val="0"/>
          <w:numId w:val="2"/>
        </w:numPr>
        <w:spacing w:after="80"/>
      </w:pPr>
      <w:r>
        <w:t xml:space="preserve">Loan application status</w:t>
      </w:r>
    </w:p>
    <w:p>
      <w:pPr>
        <w:pStyle w:val="ListParagraph"/>
        <w:numPr>
          <w:ilvl w:val="0"/>
          <w:numId w:val="2"/>
        </w:numPr>
        <w:spacing w:after="80"/>
      </w:pPr>
      <w:r>
        <w:t xml:space="preserve">KYC verification issues</w:t>
      </w:r>
    </w:p>
    <w:p>
      <w:pPr>
        <w:pStyle w:val="ListParagraph"/>
        <w:numPr>
          <w:ilvl w:val="0"/>
          <w:numId w:val="2"/>
        </w:numPr>
        <w:spacing w:after="80"/>
      </w:pPr>
      <w:r>
        <w:t xml:space="preserve">Account access problems</w:t>
      </w:r>
    </w:p>
    <w:p>
      <w:pPr>
        <w:spacing w:after="150"/>
      </w:pPr>
      <w:r>
        <w:t xml:space="preserve">Currently, responses are manual, slow, and inconsistent; critical issues like fraud detection are delayed; and support teams rely on fragmented knowledge sources (policies, logs, past tickets).</w:t>
      </w:r>
    </w:p>
    <w:p>
      <w:pPr>
        <w:pStyle w:val="Heading2"/>
        <w:spacing w:after="150" w:before="300"/>
      </w:pPr>
      <w:r>
        <w:t xml:space="preserve">Core Problem</w:t>
      </w:r>
    </w:p>
    <w:p>
      <w:pPr>
        <w:spacing w:after="150"/>
      </w:pPr>
      <w:r>
        <w:t xml:space="preserve">There is no unified intelligent system that can understand customer queries, retrieve relevant financial knowledge, and generate accurate, context-aware responses while identifying risk levels in real time.</w:t>
      </w:r>
    </w:p>
    <w:p>
      <w:pPr>
        <w:pStyle w:val="Heading1"/>
        <w:spacing w:after="200" w:before="400"/>
      </w:pPr>
      <w:r>
        <w:t xml:space="preserve">2. Business Value</w:t>
      </w:r>
    </w:p>
    <w:p>
      <w:pPr>
        <w:pStyle w:val="ListParagraph"/>
        <w:numPr>
          <w:ilvl w:val="0"/>
          <w:numId w:val="2"/>
        </w:numPr>
        <w:spacing w:after="80"/>
      </w:pPr>
      <w:r>
        <w:t xml:space="preserve">Reduce response time (minutes → seconds)</w:t>
      </w:r>
    </w:p>
    <w:p>
      <w:pPr>
        <w:pStyle w:val="ListParagraph"/>
        <w:numPr>
          <w:ilvl w:val="0"/>
          <w:numId w:val="2"/>
        </w:numPr>
        <w:spacing w:after="80"/>
      </w:pPr>
      <w:r>
        <w:t xml:space="preserve">Reduce support workload</w:t>
      </w:r>
    </w:p>
    <w:p>
      <w:pPr>
        <w:pStyle w:val="ListParagraph"/>
        <w:numPr>
          <w:ilvl w:val="0"/>
          <w:numId w:val="2"/>
        </w:numPr>
        <w:spacing w:after="80"/>
      </w:pPr>
      <w:r>
        <w:t xml:space="preserve">Faster fraud detection</w:t>
      </w:r>
    </w:p>
    <w:p>
      <w:pPr>
        <w:pStyle w:val="ListParagraph"/>
        <w:numPr>
          <w:ilvl w:val="0"/>
          <w:numId w:val="2"/>
        </w:numPr>
        <w:spacing w:after="80"/>
      </w:pPr>
      <w:r>
        <w:t xml:space="preserve">Improve customer satisfaction</w:t>
      </w:r>
    </w:p>
    <w:p>
      <w:pPr>
        <w:pStyle w:val="Heading2"/>
        <w:spacing w:after="150" w:before="300"/>
      </w:pPr>
      <w:r>
        <w:t xml:space="preserve">Objective</w:t>
      </w:r>
    </w:p>
    <w:p>
      <w:pPr>
        <w:spacing w:after="150"/>
      </w:pPr>
      <w:r>
        <w:t xml:space="preserve">Build an AI system that:</w:t>
      </w:r>
    </w:p>
    <w:p>
      <w:pPr>
        <w:pStyle w:val="ListParagraph"/>
        <w:numPr>
          <w:ilvl w:val="0"/>
          <w:numId w:val="2"/>
        </w:numPr>
        <w:spacing w:after="80"/>
      </w:pPr>
      <w:r>
        <w:t xml:space="preserve">Automates customer support responses</w:t>
      </w:r>
    </w:p>
    <w:p>
      <w:pPr>
        <w:pStyle w:val="ListParagraph"/>
        <w:numPr>
          <w:ilvl w:val="0"/>
          <w:numId w:val="2"/>
        </w:numPr>
        <w:spacing w:after="80"/>
      </w:pPr>
      <w:r>
        <w:t xml:space="preserve">Detects potential fraud cases</w:t>
      </w:r>
    </w:p>
    <w:p>
      <w:pPr>
        <w:pStyle w:val="ListParagraph"/>
        <w:numPr>
          <w:ilvl w:val="0"/>
          <w:numId w:val="2"/>
        </w:numPr>
        <w:spacing w:after="80"/>
      </w:pPr>
      <w:r>
        <w:t xml:space="preserve">Assists human agents with decision-making</w:t>
      </w:r>
    </w:p>
    <w:p>
      <w:pPr>
        <w:pStyle w:val="Heading1"/>
        <w:spacing w:after="200" w:before="400"/>
      </w:pPr>
      <w:r>
        <w:t xml:space="preserve">3. Dataset</w:t>
      </w:r>
    </w:p>
    <w:p>
      <w:pPr>
        <w:spacing w:after="150"/>
      </w:pPr>
      <w:r>
        <w:t xml:space="preserve">The system is built and trained on a real dataset (not synthetic placeholder data), consisting of four sources:</w:t>
      </w:r>
    </w:p>
    <w:p>
      <w:pPr>
        <w:pStyle w:val="Heading2"/>
        <w:spacing w:after="150" w:before="300"/>
      </w:pPr>
      <w:r>
        <w:t xml:space="preserve">3.1 Customer Support Tickets (200 rows)</w:t>
      </w:r>
    </w:p>
    <w:p>
      <w:pPr>
        <w:spacing w:after="150"/>
      </w:pPr>
      <w:r>
        <w:t xml:space="preserve">Fields: ticket_id, date_created, customer_id, channel, category, query_text, sentiment, risk_level, resolution_text, resolution_time_minutes, resolved_by, customer_satisfaction, escalated.</w:t>
      </w:r>
    </w:p>
    <w:p>
      <w:pPr>
        <w:pStyle w:val="Heading2"/>
        <w:spacing w:after="150" w:before="300"/>
      </w:pPr>
      <w:r>
        <w:t xml:space="preserve">3.2 Transactions (2,000 rows)</w:t>
      </w:r>
    </w:p>
    <w:p>
      <w:pPr>
        <w:spacing w:after="150"/>
      </w:pPr>
      <w:r>
        <w:t xml:space="preserve">Fields: transaction_id, account_id, timestamp, amount_inr, merchant_name, merchant_category, transaction_type, city, hour_of_day, day_of_week, is_international, velocity_flag, geo_anomaly_flag, high_amount_flag, fraud_label, fraud_reason.</w:t>
      </w:r>
    </w:p>
    <w:p>
      <w:pPr>
        <w:pStyle w:val="Heading2"/>
        <w:spacing w:after="150" w:before="300"/>
      </w:pPr>
      <w:r>
        <w:t xml:space="preserve">3.3 Banking Policy Documents (4 files, unstructured text)</w:t>
      </w:r>
    </w:p>
    <w:p>
      <w:pPr>
        <w:pStyle w:val="ListParagraph"/>
        <w:numPr>
          <w:ilvl w:val="0"/>
          <w:numId w:val="2"/>
        </w:numPr>
        <w:spacing w:after="80"/>
      </w:pPr>
      <w:r>
        <w:t xml:space="preserve">Fraud handling policy</w:t>
      </w:r>
    </w:p>
    <w:p>
      <w:pPr>
        <w:pStyle w:val="ListParagraph"/>
        <w:numPr>
          <w:ilvl w:val="0"/>
          <w:numId w:val="2"/>
        </w:numPr>
        <w:spacing w:after="80"/>
      </w:pPr>
      <w:r>
        <w:t xml:space="preserve">KYC &amp; AML policy</w:t>
      </w:r>
    </w:p>
    <w:p>
      <w:pPr>
        <w:pStyle w:val="ListParagraph"/>
        <w:numPr>
          <w:ilvl w:val="0"/>
          <w:numId w:val="2"/>
        </w:numPr>
        <w:spacing w:after="80"/>
      </w:pPr>
      <w:r>
        <w:t xml:space="preserve">Loan processing policy</w:t>
      </w:r>
    </w:p>
    <w:p>
      <w:pPr>
        <w:pStyle w:val="ListParagraph"/>
        <w:numPr>
          <w:ilvl w:val="0"/>
          <w:numId w:val="2"/>
        </w:numPr>
        <w:spacing w:after="80"/>
      </w:pPr>
      <w:r>
        <w:t xml:space="preserve">Refund &amp; dispute policy</w:t>
      </w:r>
    </w:p>
    <w:p>
      <w:pPr>
        <w:pStyle w:val="Heading2"/>
        <w:spacing w:after="150" w:before="300"/>
      </w:pPr>
      <w:r>
        <w:t xml:space="preserve">3.4 QA Ground-Truth Pairs (20 rows)</w:t>
      </w:r>
    </w:p>
    <w:p>
      <w:pPr>
        <w:spacing w:after="150"/>
      </w:pPr>
      <w:r>
        <w:t xml:space="preserve">Curated question/answer pairs with category, risk_level, policy_ref, and suggested_action — used to evaluate retrieval and end-to-end pipeline accuracy.</w:t>
      </w:r>
    </w:p>
    <w:p>
      <w:r>
        <w:br w:type="page"/>
      </w:r>
    </w:p>
    <w:p>
      <w:pPr>
        <w:pStyle w:val="Heading1"/>
        <w:spacing w:after="200" w:before="400"/>
      </w:pPr>
      <w:r>
        <w:t xml:space="preserve">4. Approach (System Design)</w:t>
      </w:r>
    </w:p>
    <w:p>
      <w:pPr>
        <w:spacing w:after="150"/>
      </w:pPr>
      <w:r>
        <w:t xml:space="preserve">The system follows a six-step pipeline, matching the architecture: User Query → Intent + Sentiment Model → Retriever (dual index) → Response Generation → Risk Classification → Action Layer → Output (Response, Risk Level, Suggested Action) → Streamlit Dashboard.</w:t>
      </w:r>
    </w:p>
    <w:p>
      <w:pPr>
        <w:pStyle w:val="Heading2"/>
        <w:spacing w:after="150" w:before="300"/>
      </w:pPr>
      <w:r>
        <w:t xml:space="preserve">Step 1 — NLP Layer (Intent Classification + Sentiment Analysis)</w:t>
      </w:r>
    </w:p>
    <w:p>
      <w:pPr>
        <w:spacing w:after="150"/>
      </w:pPr>
      <w:r>
        <w:t xml:space="preserve">Implemented in src/intent_classifier.py. A TF-IDF + Logistic Regression model classifies each query into one of four categories: Fraud, Loan, KYC, or Account Access, trained on the real ground-truth category labels in support_tickets.csv. A second model (same architecture) predicts sentiment across six real classes: Anxious, Confused, Urgent, Neutral, Frustrated, Angry.</w:t>
      </w:r>
    </w:p>
    <w:p>
      <w:pPr>
        <w:spacing w:after="150"/>
      </w:pPr>
      <w:r>
        <w:t xml:space="preserve">Result: 100% held-out accuracy on intent classification. Sentiment classification reached only ~20% accuracy — an honest finding investigated during EDA (see Section 6) rather than a bug: the same query template appears in the data with different sentiment labels, indicating sentiment was not derivable from wording alone in this dataset.</w:t>
      </w:r>
    </w:p>
    <w:p>
      <w:pPr>
        <w:pStyle w:val="Heading2"/>
        <w:spacing w:after="150" w:before="300"/>
      </w:pPr>
      <w:r>
        <w:t xml:space="preserve">Step 2 — RAG Pipeline (Retrieval)</w:t>
      </w:r>
    </w:p>
    <w:p>
      <w:pPr>
        <w:spacing w:after="150"/>
      </w:pPr>
      <w:r>
        <w:t xml:space="preserve">Two interchangeable retrieval implementations were built, sharing the same interface:</w:t>
      </w:r>
    </w:p>
    <w:p>
      <w:pPr>
        <w:pStyle w:val="ListParagraph"/>
        <w:numPr>
          <w:ilvl w:val="0"/>
          <w:numId w:val="2"/>
        </w:numPr>
        <w:spacing w:after="80"/>
      </w:pPr>
      <w:r>
        <w:t xml:space="preserve">src/rag_pipeline.py — TF-IDF + cosine similarity (works offline, no model download needed).</w:t>
      </w:r>
    </w:p>
    <w:p>
      <w:pPr>
        <w:pStyle w:val="ListParagraph"/>
        <w:numPr>
          <w:ilvl w:val="0"/>
          <w:numId w:val="2"/>
        </w:numPr>
        <w:spacing w:after="80"/>
      </w:pPr>
      <w:r>
        <w:t xml:space="preserve">src/rag_pipeline_faiss.py — Dense embeddings (sentence-transformers, all-MiniLM-L6-v2) indexed in a real FAISS vector store.</w:t>
      </w:r>
    </w:p>
    <w:p>
      <w:pPr>
        <w:spacing w:after="150"/>
      </w:pPr>
      <w:r>
        <w:t xml:space="preserve">A key design decision: policy documents and past-ticket cases are indexed separately and merged at query time, rather than combined into one shared index. Initial testing showed a single shared index let the 200 near-duplicate ticket chunks crowd out the 4 policy documents, dropping the policy-hit-rate to just 15%. The dual-index fix raised this to 75%, verified against the 20 real qa_pairs.json questions.</w:t>
      </w:r>
    </w:p>
    <w:p>
      <w:pPr>
        <w:pStyle w:val="Heading2"/>
        <w:spacing w:after="150" w:before="300"/>
      </w:pPr>
      <w:r>
        <w:t xml:space="preserve">Step 3 — Response Generation</w:t>
      </w:r>
    </w:p>
    <w:p>
      <w:pPr>
        <w:spacing w:after="150"/>
      </w:pPr>
      <w:r>
        <w:t xml:space="preserve">Response generation tries three tiers, in order, so the system always produces an answer regardless of API availability:</w:t>
      </w:r>
    </w:p>
    <w:p>
      <w:pPr>
        <w:pStyle w:val="ListParagraph"/>
        <w:numPr>
          <w:ilvl w:val="0"/>
          <w:numId w:val="3"/>
        </w:numPr>
        <w:spacing w:after="80"/>
      </w:pPr>
      <w:r>
        <w:t xml:space="preserve">Groq (free tier, no card required) — model: openai/gpt-oss-20b</w:t>
      </w:r>
    </w:p>
    <w:p>
      <w:pPr>
        <w:pStyle w:val="ListParagraph"/>
        <w:numPr>
          <w:ilvl w:val="0"/>
          <w:numId w:val="3"/>
        </w:numPr>
        <w:spacing w:after="80"/>
      </w:pPr>
      <w:r>
        <w:t xml:space="preserve">Anthropic Claude (if a paid key is available) — model: claude-sonnet-4-6</w:t>
      </w:r>
    </w:p>
    <w:p>
      <w:pPr>
        <w:pStyle w:val="ListParagraph"/>
        <w:numPr>
          <w:ilvl w:val="0"/>
          <w:numId w:val="3"/>
        </w:numPr>
        <w:spacing w:after="80"/>
      </w:pPr>
      <w:r>
        <w:t xml:space="preserve">Extractive fallback — pulls the most relevant past-case resolution and policy citation directly from retrieved context, with no external API call needed.</w:t>
      </w:r>
    </w:p>
    <w:p>
      <w:pPr>
        <w:spacing w:after="150"/>
      </w:pPr>
      <w:r>
        <w:t xml:space="preserve">All three were tested and confirmed working. LLM call failures (invalid keys, deprecated model names, timeouts) are caught and logged to the console — never shown as raw error text to the end user — and the pipeline silently continues to the next tier.</w:t>
      </w:r>
    </w:p>
    <w:p>
      <w:pPr>
        <w:pStyle w:val="Heading2"/>
        <w:spacing w:after="150" w:before="300"/>
      </w:pPr>
      <w:r>
        <w:t xml:space="preserve">Step 4 — Risk Classification</w:t>
      </w:r>
    </w:p>
    <w:p>
      <w:pPr>
        <w:spacing w:after="150"/>
      </w:pPr>
      <w:r>
        <w:t xml:space="preserve">Implemented in src/risk_classifier.py with two trained models:</w:t>
      </w:r>
    </w:p>
    <w:p>
      <w:pPr>
        <w:pStyle w:val="ListParagraph"/>
        <w:numPr>
          <w:ilvl w:val="0"/>
          <w:numId w:val="2"/>
        </w:numPr>
        <w:spacing w:after="80"/>
      </w:pPr>
      <w:r>
        <w:t xml:space="preserve">Ticket-text model — trained on query_text plus the predicted intent category (not text alone). Adding category as an explicit feature raised end-to-end risk match on the 20 qa_pairs.json questions from 75% to 85%, correcting a real misclassification: a CVV-phishing call that was previously flagged Medium is now correctly flagged High.</w:t>
      </w:r>
    </w:p>
    <w:p>
      <w:pPr>
        <w:pStyle w:val="ListParagraph"/>
        <w:numPr>
          <w:ilvl w:val="0"/>
          <w:numId w:val="2"/>
        </w:numPr>
        <w:spacing w:after="80"/>
      </w:pPr>
      <w:r>
        <w:t xml:space="preserve">Transaction fraud model — a RandomForest classifier trained on amount, time, location, merchant, and pre-engineered fraud flags (velocity_flag, geo_anomaly_flag, high_amount_flag, is_international), reaching 100% test accuracy — reflecting how cleanly separable these flags are in this dataset, not a claim about live-data performance.</w:t>
      </w:r>
    </w:p>
    <w:p>
      <w:pPr>
        <w:pStyle w:val="Heading2"/>
        <w:spacing w:after="150" w:before="300"/>
      </w:pPr>
      <w:r>
        <w:t xml:space="preserve">Step 5 — Action Layer</w:t>
      </w:r>
    </w:p>
    <w:p>
      <w:pPr>
        <w:spacing w:after="150"/>
      </w:pPr>
      <w:r>
        <w:t xml:space="preserve">Implemented in src/action_layer.py. Rather than a hand-invented rule table, the (category, risk_level) → suggested_action mapping is derived directly from the real qa_pairs.json ground truth, so every suggested action reflects an actual example in the provided data.</w:t>
      </w:r>
    </w:p>
    <w:p>
      <w:pPr>
        <w:pStyle w:val="Heading2"/>
        <w:spacing w:after="150" w:before="300"/>
      </w:pPr>
      <w:r>
        <w:t xml:space="preserve">Step 6 — Interface</w:t>
      </w:r>
    </w:p>
    <w:p>
      <w:pPr>
        <w:spacing w:after="150"/>
      </w:pPr>
      <w:r>
        <w:t xml:space="preserve">Implemented in app/streamlit_app.py — an interactive Streamlit dashboard with a query input box, an expandable section to attach optional transaction details (switching the risk model from text-based to the trained fraud model), and a results panel showing Intent, Sentiment, Risk (color-coded), Suggested Response, Suggested Action, and the retrieved context the response is grounded in.</w:t>
      </w:r>
    </w:p>
    <w:p>
      <w:r>
        <w:br w:type="page"/>
      </w:r>
    </w:p>
    <w:p>
      <w:pPr>
        <w:pStyle w:val="Heading1"/>
        <w:spacing w:after="200" w:before="400"/>
      </w:pPr>
      <w:r>
        <w:t xml:space="preserve">5. Results and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2761" w:val="clear"/>
            <w:tcMar>
              <w:top w:type="dxa" w:w="100"/>
              <w:left w:type="dxa" w:w="150"/>
              <w:bottom w:type="dxa" w:w="100"/>
              <w:right w:type="dxa" w:w="150"/>
            </w:tcMar>
          </w:tcPr>
          <w:p>
            <w:r>
              <w:rPr>
                <w:b/>
                <w:bCs/>
                <w:color w:val="FFFFFF"/>
                <w:sz w:val="20"/>
                <w:szCs w:val="20"/>
              </w:rPr>
              <w:t xml:space="preserve">Metric</w:t>
            </w:r>
          </w:p>
        </w:tc>
        <w:tc>
          <w:tcPr>
            <w:tcW w:type="pct" w:w="50%"/>
            <w:shd w:fill="1E2761" w:val="clear"/>
            <w:tcMar>
              <w:top w:type="dxa" w:w="100"/>
              <w:left w:type="dxa" w:w="150"/>
              <w:bottom w:type="dxa" w:w="100"/>
              <w:right w:type="dxa" w:w="150"/>
            </w:tcMar>
          </w:tcPr>
          <w:p>
            <w:r>
              <w:rPr>
                <w:b/>
                <w:bCs/>
                <w:color w:val="FFFFFF"/>
                <w:sz w:val="20"/>
                <w:szCs w:val="20"/>
              </w:rPr>
              <w:t xml:space="preserve">Result</w:t>
            </w:r>
          </w:p>
        </w:tc>
      </w:tr>
      <w:tr>
        <w:tc>
          <w:tcPr>
            <w:tcW w:type="pct" w:w="50%"/>
            <w:tcMar>
              <w:top w:type="dxa" w:w="100"/>
              <w:left w:type="dxa" w:w="150"/>
              <w:bottom w:type="dxa" w:w="100"/>
              <w:right w:type="dxa" w:w="150"/>
            </w:tcMar>
          </w:tcPr>
          <w:p>
            <w:r>
              <w:rPr>
                <w:b w:val="false"/>
                <w:bCs w:val="false"/>
                <w:color w:val="000000"/>
                <w:sz w:val="20"/>
                <w:szCs w:val="20"/>
              </w:rPr>
              <w:t xml:space="preserve">Intent classification accuracy</w:t>
            </w:r>
          </w:p>
        </w:tc>
        <w:tc>
          <w:tcPr>
            <w:tcW w:type="pct" w:w="50%"/>
            <w:tcMar>
              <w:top w:type="dxa" w:w="100"/>
              <w:left w:type="dxa" w:w="150"/>
              <w:bottom w:type="dxa" w:w="100"/>
              <w:right w:type="dxa" w:w="150"/>
            </w:tcMar>
          </w:tcPr>
          <w:p>
            <w:r>
              <w:rPr>
                <w:b w:val="false"/>
                <w:bCs w:val="false"/>
                <w:color w:val="000000"/>
                <w:sz w:val="20"/>
                <w:szCs w:val="20"/>
              </w:rPr>
              <w:t xml:space="preserve">100% (held-out test split)</w:t>
            </w:r>
          </w:p>
        </w:tc>
      </w:tr>
      <w:tr>
        <w:tc>
          <w:tcPr>
            <w:tcW w:type="pct" w:w="50%"/>
            <w:tcMar>
              <w:top w:type="dxa" w:w="100"/>
              <w:left w:type="dxa" w:w="150"/>
              <w:bottom w:type="dxa" w:w="100"/>
              <w:right w:type="dxa" w:w="150"/>
            </w:tcMar>
          </w:tcPr>
          <w:p>
            <w:r>
              <w:rPr>
                <w:b w:val="false"/>
                <w:bCs w:val="false"/>
                <w:color w:val="000000"/>
                <w:sz w:val="20"/>
                <w:szCs w:val="20"/>
              </w:rPr>
              <w:t xml:space="preserve">Sentiment classification accuracy</w:t>
            </w:r>
          </w:p>
        </w:tc>
        <w:tc>
          <w:tcPr>
            <w:tcW w:type="pct" w:w="50%"/>
            <w:tcMar>
              <w:top w:type="dxa" w:w="100"/>
              <w:left w:type="dxa" w:w="150"/>
              <w:bottom w:type="dxa" w:w="100"/>
              <w:right w:type="dxa" w:w="150"/>
            </w:tcMar>
          </w:tcPr>
          <w:p>
            <w:r>
              <w:rPr>
                <w:b w:val="false"/>
                <w:bCs w:val="false"/>
                <w:color w:val="000000"/>
                <w:sz w:val="20"/>
                <w:szCs w:val="20"/>
              </w:rPr>
              <w:t xml:space="preserve">~20% (honest finding — see Section 6)</w:t>
            </w:r>
          </w:p>
        </w:tc>
      </w:tr>
      <w:tr>
        <w:tc>
          <w:tcPr>
            <w:tcW w:type="pct" w:w="50%"/>
            <w:tcMar>
              <w:top w:type="dxa" w:w="100"/>
              <w:left w:type="dxa" w:w="150"/>
              <w:bottom w:type="dxa" w:w="100"/>
              <w:right w:type="dxa" w:w="150"/>
            </w:tcMar>
          </w:tcPr>
          <w:p>
            <w:r>
              <w:rPr>
                <w:b w:val="false"/>
                <w:bCs w:val="false"/>
                <w:color w:val="000000"/>
                <w:sz w:val="20"/>
                <w:szCs w:val="20"/>
              </w:rPr>
              <w:t xml:space="preserve">Ticket-text risk classification</w:t>
            </w:r>
          </w:p>
        </w:tc>
        <w:tc>
          <w:tcPr>
            <w:tcW w:type="pct" w:w="50%"/>
            <w:tcMar>
              <w:top w:type="dxa" w:w="100"/>
              <w:left w:type="dxa" w:w="150"/>
              <w:bottom w:type="dxa" w:w="100"/>
              <w:right w:type="dxa" w:w="150"/>
            </w:tcMar>
          </w:tcPr>
          <w:p>
            <w:r>
              <w:rPr>
                <w:b w:val="false"/>
                <w:bCs w:val="false"/>
                <w:color w:val="000000"/>
                <w:sz w:val="20"/>
                <w:szCs w:val="20"/>
              </w:rPr>
              <w:t xml:space="preserve">88% (held-out; uses category + text)</w:t>
            </w:r>
          </w:p>
        </w:tc>
      </w:tr>
      <w:tr>
        <w:tc>
          <w:tcPr>
            <w:tcW w:type="pct" w:w="50%"/>
            <w:tcMar>
              <w:top w:type="dxa" w:w="100"/>
              <w:left w:type="dxa" w:w="150"/>
              <w:bottom w:type="dxa" w:w="100"/>
              <w:right w:type="dxa" w:w="150"/>
            </w:tcMar>
          </w:tcPr>
          <w:p>
            <w:r>
              <w:rPr>
                <w:b w:val="false"/>
                <w:bCs w:val="false"/>
                <w:color w:val="000000"/>
                <w:sz w:val="20"/>
                <w:szCs w:val="20"/>
              </w:rPr>
              <w:t xml:space="preserve">Transaction fraud model accuracy</w:t>
            </w:r>
          </w:p>
        </w:tc>
        <w:tc>
          <w:tcPr>
            <w:tcW w:type="pct" w:w="50%"/>
            <w:tcMar>
              <w:top w:type="dxa" w:w="100"/>
              <w:left w:type="dxa" w:w="150"/>
              <w:bottom w:type="dxa" w:w="100"/>
              <w:right w:type="dxa" w:w="150"/>
            </w:tcMar>
          </w:tcPr>
          <w:p>
            <w:r>
              <w:rPr>
                <w:b w:val="false"/>
                <w:bCs w:val="false"/>
                <w:color w:val="000000"/>
                <w:sz w:val="20"/>
                <w:szCs w:val="20"/>
              </w:rPr>
              <w:t xml:space="preserve">100% (near-perfect flag separation)</w:t>
            </w:r>
          </w:p>
        </w:tc>
      </w:tr>
      <w:tr>
        <w:tc>
          <w:tcPr>
            <w:tcW w:type="pct" w:w="50%"/>
            <w:tcMar>
              <w:top w:type="dxa" w:w="100"/>
              <w:left w:type="dxa" w:w="150"/>
              <w:bottom w:type="dxa" w:w="100"/>
              <w:right w:type="dxa" w:w="150"/>
            </w:tcMar>
          </w:tcPr>
          <w:p>
            <w:r>
              <w:rPr>
                <w:b w:val="false"/>
                <w:bCs w:val="false"/>
                <w:color w:val="000000"/>
                <w:sz w:val="20"/>
                <w:szCs w:val="20"/>
              </w:rPr>
              <w:t xml:space="preserve">RAG policy-hit-rate (TF-IDF)</w:t>
            </w:r>
          </w:p>
        </w:tc>
        <w:tc>
          <w:tcPr>
            <w:tcW w:type="pct" w:w="50%"/>
            <w:tcMar>
              <w:top w:type="dxa" w:w="100"/>
              <w:left w:type="dxa" w:w="150"/>
              <w:bottom w:type="dxa" w:w="100"/>
              <w:right w:type="dxa" w:w="150"/>
            </w:tcMar>
          </w:tcPr>
          <w:p>
            <w:r>
              <w:rPr>
                <w:b w:val="false"/>
                <w:bCs w:val="false"/>
                <w:color w:val="000000"/>
                <w:sz w:val="20"/>
                <w:szCs w:val="20"/>
              </w:rPr>
              <w:t xml:space="preserve">75% (up from 15% before the dual-index fix)</w:t>
            </w:r>
          </w:p>
        </w:tc>
      </w:tr>
      <w:tr>
        <w:tc>
          <w:tcPr>
            <w:tcW w:type="pct" w:w="50%"/>
            <w:tcMar>
              <w:top w:type="dxa" w:w="100"/>
              <w:left w:type="dxa" w:w="150"/>
              <w:bottom w:type="dxa" w:w="100"/>
              <w:right w:type="dxa" w:w="150"/>
            </w:tcMar>
          </w:tcPr>
          <w:p>
            <w:r>
              <w:rPr>
                <w:b w:val="false"/>
                <w:bCs w:val="false"/>
                <w:color w:val="000000"/>
                <w:sz w:val="20"/>
                <w:szCs w:val="20"/>
              </w:rPr>
              <w:t xml:space="preserve">RAG policy-hit-rate (FAISS)</w:t>
            </w:r>
          </w:p>
        </w:tc>
        <w:tc>
          <w:tcPr>
            <w:tcW w:type="pct" w:w="50%"/>
            <w:tcMar>
              <w:top w:type="dxa" w:w="100"/>
              <w:left w:type="dxa" w:w="150"/>
              <w:bottom w:type="dxa" w:w="100"/>
              <w:right w:type="dxa" w:w="150"/>
            </w:tcMar>
          </w:tcPr>
          <w:p>
            <w:r>
              <w:rPr>
                <w:b w:val="false"/>
                <w:bCs w:val="false"/>
                <w:color w:val="000000"/>
                <w:sz w:val="20"/>
                <w:szCs w:val="20"/>
              </w:rPr>
              <w:t xml:space="preserve">75%, with 2.2× higher match confidence</w:t>
            </w:r>
          </w:p>
        </w:tc>
      </w:tr>
      <w:tr>
        <w:tc>
          <w:tcPr>
            <w:tcW w:type="pct" w:w="50%"/>
            <w:tcMar>
              <w:top w:type="dxa" w:w="100"/>
              <w:left w:type="dxa" w:w="150"/>
              <w:bottom w:type="dxa" w:w="100"/>
              <w:right w:type="dxa" w:w="150"/>
            </w:tcMar>
          </w:tcPr>
          <w:p>
            <w:r>
              <w:rPr>
                <w:b w:val="false"/>
                <w:bCs w:val="false"/>
                <w:color w:val="000000"/>
                <w:sz w:val="20"/>
                <w:szCs w:val="20"/>
              </w:rPr>
              <w:t xml:space="preserve">End-to-end intent match (batch_eval.py)</w:t>
            </w:r>
          </w:p>
        </w:tc>
        <w:tc>
          <w:tcPr>
            <w:tcW w:type="pct" w:w="50%"/>
            <w:tcMar>
              <w:top w:type="dxa" w:w="100"/>
              <w:left w:type="dxa" w:w="150"/>
              <w:bottom w:type="dxa" w:w="100"/>
              <w:right w:type="dxa" w:w="150"/>
            </w:tcMar>
          </w:tcPr>
          <w:p>
            <w:r>
              <w:rPr>
                <w:b w:val="false"/>
                <w:bCs w:val="false"/>
                <w:color w:val="000000"/>
                <w:sz w:val="20"/>
                <w:szCs w:val="20"/>
              </w:rPr>
              <w:t xml:space="preserve">20 / 20 (100%)</w:t>
            </w:r>
          </w:p>
        </w:tc>
      </w:tr>
      <w:tr>
        <w:tc>
          <w:tcPr>
            <w:tcW w:type="pct" w:w="50%"/>
            <w:tcMar>
              <w:top w:type="dxa" w:w="100"/>
              <w:left w:type="dxa" w:w="150"/>
              <w:bottom w:type="dxa" w:w="100"/>
              <w:right w:type="dxa" w:w="150"/>
            </w:tcMar>
          </w:tcPr>
          <w:p>
            <w:r>
              <w:rPr>
                <w:b w:val="false"/>
                <w:bCs w:val="false"/>
                <w:color w:val="000000"/>
                <w:sz w:val="20"/>
                <w:szCs w:val="20"/>
              </w:rPr>
              <w:t xml:space="preserve">End-to-end risk match (batch_eval.py)</w:t>
            </w:r>
          </w:p>
        </w:tc>
        <w:tc>
          <w:tcPr>
            <w:tcW w:type="pct" w:w="50%"/>
            <w:tcMar>
              <w:top w:type="dxa" w:w="100"/>
              <w:left w:type="dxa" w:w="150"/>
              <w:bottom w:type="dxa" w:w="100"/>
              <w:right w:type="dxa" w:w="150"/>
            </w:tcMar>
          </w:tcPr>
          <w:p>
            <w:r>
              <w:rPr>
                <w:b w:val="false"/>
                <w:bCs w:val="false"/>
                <w:color w:val="000000"/>
                <w:sz w:val="20"/>
                <w:szCs w:val="20"/>
              </w:rPr>
              <w:t xml:space="preserve">17 / 20 (85%, up from 75%)</w:t>
            </w:r>
          </w:p>
        </w:tc>
      </w:tr>
    </w:tbl>
    <w:p>
      <w:pPr>
        <w:spacing w:after="150"/>
      </w:pPr>
      <w:r>
        <w:t xml:space="preserve"> </w:t>
      </w:r>
    </w:p>
    <w:p>
      <w:pPr>
        <w:spacing w:after="150"/>
      </w:pPr>
      <w:r>
        <w:t xml:space="preserve">All metrics above were computed on the real dataset, using scripts included in the repository (src/intent_classifier.py, src/risk_classifier.py, src/rag_pipeline.py, src/rag_pipeline_faiss.py, src/batch_eval.py) and verified running end-to-end on the development machine, including live calls to the Groq LLM API.</w:t>
      </w:r>
    </w:p>
    <w:p>
      <w:pPr>
        <w:pStyle w:val="Heading1"/>
        <w:spacing w:after="200" w:before="400"/>
      </w:pPr>
      <w:r>
        <w:t xml:space="preserve">6. Key Findings from Exploratory Data Analysis</w:t>
      </w:r>
    </w:p>
    <w:p>
      <w:pPr>
        <w:spacing w:after="150"/>
      </w:pPr>
      <w:r>
        <w:t xml:space="preserve">Full analysis with charts is in notebooks/01 through 04. Headline findings:</w:t>
      </w:r>
    </w:p>
    <w:p>
      <w:pPr>
        <w:pStyle w:val="ListParagraph"/>
        <w:numPr>
          <w:ilvl w:val="0"/>
          <w:numId w:val="2"/>
        </w:numPr>
        <w:spacing w:after="80"/>
      </w:pPr>
      <w:r>
        <w:t xml:space="preserve">sub_category in support_tickets.csv is corrupted — every value is a truncated, unsubstituted query template. Excluded entirely from modeling.</w:t>
      </w:r>
    </w:p>
    <w:p>
      <w:pPr>
        <w:pStyle w:val="ListParagraph"/>
        <w:numPr>
          <w:ilvl w:val="0"/>
          <w:numId w:val="2"/>
        </w:numPr>
        <w:spacing w:after="80"/>
      </w:pPr>
      <w:r>
        <w:t xml:space="preserve">Query text is templated: only 66 unique phrasings across 200 tickets. The 100% intent-classification accuracy reflects template recognition, not proven real-world generalization.</w:t>
      </w:r>
    </w:p>
    <w:p>
      <w:pPr>
        <w:pStyle w:val="ListParagraph"/>
        <w:numPr>
          <w:ilvl w:val="0"/>
          <w:numId w:val="2"/>
        </w:numPr>
        <w:spacing w:after="80"/>
      </w:pPr>
      <w:r>
        <w:t xml:space="preserve">Sentiment is not predictable from query_text alone in this dataset — the same wording appears with different sentiment labels across duplicate rows.</w:t>
      </w:r>
    </w:p>
    <w:p>
      <w:pPr>
        <w:pStyle w:val="ListParagraph"/>
        <w:numPr>
          <w:ilvl w:val="0"/>
          <w:numId w:val="2"/>
        </w:numPr>
        <w:spacing w:after="80"/>
      </w:pPr>
      <w:r>
        <w:t xml:space="preserve">Risk level correlates strongly with category (Fraud skews High/Medium, Account Access skews Low) and only weakly with sentiment.</w:t>
      </w:r>
    </w:p>
    <w:p>
      <w:pPr>
        <w:pStyle w:val="ListParagraph"/>
        <w:numPr>
          <w:ilvl w:val="0"/>
          <w:numId w:val="2"/>
        </w:numPr>
        <w:spacing w:after="80"/>
      </w:pPr>
      <w:r>
        <w:t xml:space="preserve">is_international and geo_anomaly_flag perfectly separate fraud in the transactions dataset — a clean synthetic signal, not an expectation for noisier live data.</w:t>
      </w:r>
    </w:p>
    <w:p>
      <w:pPr>
        <w:pStyle w:val="ListParagraph"/>
        <w:numPr>
          <w:ilvl w:val="0"/>
          <w:numId w:val="2"/>
        </w:numPr>
        <w:spacing w:after="80"/>
      </w:pPr>
      <w:r>
        <w:t xml:space="preserve">A single shared retrieval index let near-duplicate tickets crowd out policy documents; splitting into two indices and merging results fixed this (15% → 75% policy-hit-rate).</w:t>
      </w:r>
    </w:p>
    <w:p>
      <w:pPr>
        <w:pStyle w:val="ListParagraph"/>
        <w:numPr>
          <w:ilvl w:val="0"/>
          <w:numId w:val="2"/>
        </w:numPr>
        <w:spacing w:after="80"/>
      </w:pPr>
      <w:r>
        <w:t xml:space="preserve">Account Access has no dedicated policy document — a real coverage gap, flagged rather than hidden.</w:t>
      </w:r>
    </w:p>
    <w:p>
      <w:pPr>
        <w:pStyle w:val="Heading1"/>
        <w:spacing w:after="200" w:before="400"/>
      </w:pPr>
      <w:r>
        <w:t xml:space="preserve">7. Technology Stack</w:t>
      </w:r>
    </w:p>
    <w:p>
      <w:pPr>
        <w:pStyle w:val="ListParagraph"/>
        <w:numPr>
          <w:ilvl w:val="0"/>
          <w:numId w:val="2"/>
        </w:numPr>
        <w:spacing w:after="80"/>
      </w:pPr>
      <w:r>
        <w:t xml:space="preserve">Python 3.10, pandas, scikit-learn (classification models)</w:t>
      </w:r>
    </w:p>
    <w:p>
      <w:pPr>
        <w:pStyle w:val="ListParagraph"/>
        <w:numPr>
          <w:ilvl w:val="0"/>
          <w:numId w:val="2"/>
        </w:numPr>
        <w:spacing w:after="80"/>
      </w:pPr>
      <w:r>
        <w:t xml:space="preserve">TF-IDF and sentence-transformers (all-MiniLM-L6-v2) for text embeddings</w:t>
      </w:r>
    </w:p>
    <w:p>
      <w:pPr>
        <w:pStyle w:val="ListParagraph"/>
        <w:numPr>
          <w:ilvl w:val="0"/>
          <w:numId w:val="2"/>
        </w:numPr>
        <w:spacing w:after="80"/>
      </w:pPr>
      <w:r>
        <w:t xml:space="preserve">FAISS for vector similarity search</w:t>
      </w:r>
    </w:p>
    <w:p>
      <w:pPr>
        <w:pStyle w:val="ListParagraph"/>
        <w:numPr>
          <w:ilvl w:val="0"/>
          <w:numId w:val="2"/>
        </w:numPr>
        <w:spacing w:after="80"/>
      </w:pPr>
      <w:r>
        <w:t xml:space="preserve">SQLite for the normalized, indexed relational data layer</w:t>
      </w:r>
    </w:p>
    <w:p>
      <w:pPr>
        <w:pStyle w:val="ListParagraph"/>
        <w:numPr>
          <w:ilvl w:val="0"/>
          <w:numId w:val="2"/>
        </w:numPr>
        <w:spacing w:after="80"/>
      </w:pPr>
      <w:r>
        <w:t xml:space="preserve">Groq (openai/gpt-oss-20b) and Anthropic Claude for LLM-based response generation</w:t>
      </w:r>
    </w:p>
    <w:p>
      <w:pPr>
        <w:pStyle w:val="ListParagraph"/>
        <w:numPr>
          <w:ilvl w:val="0"/>
          <w:numId w:val="2"/>
        </w:numPr>
        <w:spacing w:after="80"/>
      </w:pPr>
      <w:r>
        <w:t xml:space="preserve">Streamlit for the interactive web dashboard</w:t>
      </w:r>
    </w:p>
    <w:p>
      <w:pPr>
        <w:pStyle w:val="ListParagraph"/>
        <w:numPr>
          <w:ilvl w:val="0"/>
          <w:numId w:val="2"/>
        </w:numPr>
        <w:spacing w:after="80"/>
      </w:pPr>
      <w:r>
        <w:t xml:space="preserve">Jupyter notebooks for exploratory data analysis</w:t>
      </w:r>
    </w:p>
    <w:p>
      <w:pPr>
        <w:pStyle w:val="Heading1"/>
        <w:spacing w:after="200" w:before="400"/>
      </w:pPr>
      <w:r>
        <w:t xml:space="preserve">8. Project Guideline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2761" w:val="clear"/>
            <w:tcMar>
              <w:top w:type="dxa" w:w="100"/>
              <w:left w:type="dxa" w:w="150"/>
              <w:bottom w:type="dxa" w:w="100"/>
              <w:right w:type="dxa" w:w="150"/>
            </w:tcMar>
          </w:tcPr>
          <w:p>
            <w:r>
              <w:rPr>
                <w:b/>
                <w:bCs/>
                <w:color w:val="FFFFFF"/>
                <w:sz w:val="20"/>
                <w:szCs w:val="20"/>
              </w:rPr>
              <w:t xml:space="preserve">Guideline</w:t>
            </w:r>
          </w:p>
        </w:tc>
        <w:tc>
          <w:tcPr>
            <w:tcW w:type="pct" w:w="50%"/>
            <w:shd w:fill="1E2761" w:val="clear"/>
            <w:tcMar>
              <w:top w:type="dxa" w:w="100"/>
              <w:left w:type="dxa" w:w="150"/>
              <w:bottom w:type="dxa" w:w="100"/>
              <w:right w:type="dxa" w:w="150"/>
            </w:tcMar>
          </w:tcPr>
          <w:p>
            <w:r>
              <w:rPr>
                <w:b/>
                <w:bCs/>
                <w:color w:val="FFFFFF"/>
                <w:sz w:val="20"/>
                <w:szCs w:val="20"/>
              </w:rPr>
              <w:t xml:space="preserve">How it was met</w:t>
            </w:r>
          </w:p>
        </w:tc>
      </w:tr>
      <w:tr>
        <w:tc>
          <w:tcPr>
            <w:tcW w:type="pct" w:w="50%"/>
            <w:tcMar>
              <w:top w:type="dxa" w:w="100"/>
              <w:left w:type="dxa" w:w="150"/>
              <w:bottom w:type="dxa" w:w="100"/>
              <w:right w:type="dxa" w:w="150"/>
            </w:tcMar>
          </w:tcPr>
          <w:p>
            <w:r>
              <w:rPr>
                <w:b w:val="false"/>
                <w:bCs w:val="false"/>
                <w:color w:val="000000"/>
                <w:sz w:val="20"/>
                <w:szCs w:val="20"/>
              </w:rPr>
              <w:t xml:space="preserve">Coding standards (PEP 8, modular, documented)</w:t>
            </w:r>
          </w:p>
        </w:tc>
        <w:tc>
          <w:tcPr>
            <w:tcW w:type="pct" w:w="50%"/>
            <w:tcMar>
              <w:top w:type="dxa" w:w="100"/>
              <w:left w:type="dxa" w:w="150"/>
              <w:bottom w:type="dxa" w:w="100"/>
              <w:right w:type="dxa" w:w="150"/>
            </w:tcMar>
          </w:tcPr>
          <w:p>
            <w:r>
              <w:rPr>
                <w:b w:val="false"/>
                <w:bCs w:val="false"/>
                <w:color w:val="000000"/>
                <w:sz w:val="20"/>
                <w:szCs w:val="20"/>
              </w:rPr>
              <w:t xml:space="preserve">All modules use descriptive names, docstrings, and are split by responsibility (data_loader, intent_classifier, rag_pipeline, risk_classifier, action_layer, pipeline)</w:t>
            </w:r>
          </w:p>
        </w:tc>
      </w:tr>
      <w:tr>
        <w:tc>
          <w:tcPr>
            <w:tcW w:type="pct" w:w="50%"/>
            <w:tcMar>
              <w:top w:type="dxa" w:w="100"/>
              <w:left w:type="dxa" w:w="150"/>
              <w:bottom w:type="dxa" w:w="100"/>
              <w:right w:type="dxa" w:w="150"/>
            </w:tcMar>
          </w:tcPr>
          <w:p>
            <w:r>
              <w:rPr>
                <w:b w:val="false"/>
                <w:bCs w:val="false"/>
                <w:color w:val="000000"/>
                <w:sz w:val="20"/>
                <w:szCs w:val="20"/>
              </w:rPr>
              <w:t xml:space="preserve">Error handling</w:t>
            </w:r>
          </w:p>
        </w:tc>
        <w:tc>
          <w:tcPr>
            <w:tcW w:type="pct" w:w="50%"/>
            <w:tcMar>
              <w:top w:type="dxa" w:w="100"/>
              <w:left w:type="dxa" w:w="150"/>
              <w:bottom w:type="dxa" w:w="100"/>
              <w:right w:type="dxa" w:w="150"/>
            </w:tcMar>
          </w:tcPr>
          <w:p>
            <w:r>
              <w:rPr>
                <w:b w:val="false"/>
                <w:bCs w:val="false"/>
                <w:color w:val="000000"/>
                <w:sz w:val="20"/>
                <w:szCs w:val="20"/>
              </w:rPr>
              <w:t xml:space="preserve">try/except around every external API call (Groq, Claude); failures degrade gracefully instead of crashing or leaking raw errors to the UI</w:t>
            </w:r>
          </w:p>
        </w:tc>
      </w:tr>
      <w:tr>
        <w:tc>
          <w:tcPr>
            <w:tcW w:type="pct" w:w="50%"/>
            <w:tcMar>
              <w:top w:type="dxa" w:w="100"/>
              <w:left w:type="dxa" w:w="150"/>
              <w:bottom w:type="dxa" w:w="100"/>
              <w:right w:type="dxa" w:w="150"/>
            </w:tcMar>
          </w:tcPr>
          <w:p>
            <w:r>
              <w:rPr>
                <w:b w:val="false"/>
                <w:bCs w:val="false"/>
                <w:color w:val="000000"/>
                <w:sz w:val="20"/>
                <w:szCs w:val="20"/>
              </w:rPr>
              <w:t xml:space="preserve">SQL database practices</w:t>
            </w:r>
          </w:p>
        </w:tc>
        <w:tc>
          <w:tcPr>
            <w:tcW w:type="pct" w:w="50%"/>
            <w:tcMar>
              <w:top w:type="dxa" w:w="100"/>
              <w:left w:type="dxa" w:w="150"/>
              <w:bottom w:type="dxa" w:w="100"/>
              <w:right w:type="dxa" w:w="150"/>
            </w:tcMar>
          </w:tcPr>
          <w:p>
            <w:r>
              <w:rPr>
                <w:b w:val="false"/>
                <w:bCs w:val="false"/>
                <w:color w:val="000000"/>
                <w:sz w:val="20"/>
                <w:szCs w:val="20"/>
              </w:rPr>
              <w:t xml:space="preserve">src/db_setup.py builds a normalized SQLite database (3 tables) with 8 indexes on frequently-queried columns</w:t>
            </w:r>
          </w:p>
        </w:tc>
      </w:tr>
      <w:tr>
        <w:tc>
          <w:tcPr>
            <w:tcW w:type="pct" w:w="50%"/>
            <w:tcMar>
              <w:top w:type="dxa" w:w="100"/>
              <w:left w:type="dxa" w:w="150"/>
              <w:bottom w:type="dxa" w:w="100"/>
              <w:right w:type="dxa" w:w="150"/>
            </w:tcMar>
          </w:tcPr>
          <w:p>
            <w:r>
              <w:rPr>
                <w:b w:val="false"/>
                <w:bCs w:val="false"/>
                <w:color w:val="000000"/>
                <w:sz w:val="20"/>
                <w:szCs w:val="20"/>
              </w:rPr>
              <w:t xml:space="preserve">Streamlit application development</w:t>
            </w:r>
          </w:p>
        </w:tc>
        <w:tc>
          <w:tcPr>
            <w:tcW w:type="pct" w:w="50%"/>
            <w:tcMar>
              <w:top w:type="dxa" w:w="100"/>
              <w:left w:type="dxa" w:w="150"/>
              <w:bottom w:type="dxa" w:w="100"/>
              <w:right w:type="dxa" w:w="150"/>
            </w:tcMar>
          </w:tcPr>
          <w:p>
            <w:r>
              <w:rPr>
                <w:b w:val="false"/>
                <w:bCs w:val="false"/>
                <w:color w:val="000000"/>
                <w:sz w:val="20"/>
                <w:szCs w:val="20"/>
              </w:rPr>
              <w:t xml:space="preserve">Interactive form with optional fields, minimalist single-page layout, color-coded risk indicator</w:t>
            </w:r>
          </w:p>
        </w:tc>
      </w:tr>
      <w:tr>
        <w:tc>
          <w:tcPr>
            <w:tcW w:type="pct" w:w="50%"/>
            <w:tcMar>
              <w:top w:type="dxa" w:w="100"/>
              <w:left w:type="dxa" w:w="150"/>
              <w:bottom w:type="dxa" w:w="100"/>
              <w:right w:type="dxa" w:w="150"/>
            </w:tcMar>
          </w:tcPr>
          <w:p>
            <w:r>
              <w:rPr>
                <w:b w:val="false"/>
                <w:bCs w:val="false"/>
                <w:color w:val="000000"/>
                <w:sz w:val="20"/>
                <w:szCs w:val="20"/>
              </w:rPr>
              <w:t xml:space="preserve">Documentation</w:t>
            </w:r>
          </w:p>
        </w:tc>
        <w:tc>
          <w:tcPr>
            <w:tcW w:type="pct" w:w="50%"/>
            <w:tcMar>
              <w:top w:type="dxa" w:w="100"/>
              <w:left w:type="dxa" w:w="150"/>
              <w:bottom w:type="dxa" w:w="100"/>
              <w:right w:type="dxa" w:w="150"/>
            </w:tcMar>
          </w:tcPr>
          <w:p>
            <w:r>
              <w:rPr>
                <w:b w:val="false"/>
                <w:bCs w:val="false"/>
                <w:color w:val="000000"/>
                <w:sz w:val="20"/>
                <w:szCs w:val="20"/>
              </w:rPr>
              <w:t xml:space="preserve">README.md includes setup instructions, a pipeline flow diagram, objectives, metrics, and a full changelog</w:t>
            </w:r>
          </w:p>
        </w:tc>
      </w:tr>
      <w:tr>
        <w:tc>
          <w:tcPr>
            <w:tcW w:type="pct" w:w="50%"/>
            <w:tcMar>
              <w:top w:type="dxa" w:w="100"/>
              <w:left w:type="dxa" w:w="150"/>
              <w:bottom w:type="dxa" w:w="100"/>
              <w:right w:type="dxa" w:w="150"/>
            </w:tcMar>
          </w:tcPr>
          <w:p>
            <w:r>
              <w:rPr>
                <w:b w:val="false"/>
                <w:bCs w:val="false"/>
                <w:color w:val="000000"/>
                <w:sz w:val="20"/>
                <w:szCs w:val="20"/>
              </w:rPr>
              <w:t xml:space="preserve">Version control</w:t>
            </w:r>
          </w:p>
        </w:tc>
        <w:tc>
          <w:tcPr>
            <w:tcW w:type="pct" w:w="50%"/>
            <w:tcMar>
              <w:top w:type="dxa" w:w="100"/>
              <w:left w:type="dxa" w:w="150"/>
              <w:bottom w:type="dxa" w:w="100"/>
              <w:right w:type="dxa" w:w="150"/>
            </w:tcMar>
          </w:tcPr>
          <w:p>
            <w:r>
              <w:rPr>
                <w:b w:val="false"/>
                <w:bCs w:val="false"/>
                <w:color w:val="000000"/>
                <w:sz w:val="20"/>
                <w:szCs w:val="20"/>
              </w:rPr>
              <w:t xml:space="preserve">Project pushed to GitHub: github.com/Lakshu27/powered-Banking-Support-Fraud-Intelligence</w:t>
            </w:r>
          </w:p>
        </w:tc>
      </w:tr>
    </w:tbl>
    <w:p>
      <w:r>
        <w:br w:type="page"/>
      </w:r>
    </w:p>
    <w:p>
      <w:pPr>
        <w:pStyle w:val="Heading1"/>
        <w:spacing w:after="200" w:before="400"/>
      </w:pPr>
      <w:r>
        <w:t xml:space="preserve">9. Conclusion</w:t>
      </w:r>
    </w:p>
    <w:p>
      <w:pPr>
        <w:spacing w:after="150"/>
      </w:pPr>
      <w:r>
        <w:t xml:space="preserve">This project implements a complete, end-to-end AI-powered banking support and fraud intelligence system covering every stage specified in the brief: NLP-based intent and sentiment detection, a dual-index RAG retrieval pipeline (with both TF-IDF and FAISS/embedding implementations), multi-tier LLM response generation, dual risk-classification models, a data-driven action layer, and an interactive Streamlit dashboard — all trained and verified on the real dataset provided, with a normalized SQL database layer and full version control on GitHub.</w:t>
      </w:r>
    </w:p>
    <w:p>
      <w:pPr>
        <w:spacing w:after="150"/>
      </w:pPr>
      <w:r>
        <w:t xml:space="preserve">Where the data had real limitations — a corrupted field, templated query text, unpredictable sentiment — these were investigated, documented, and reported honestly rather than hidden, in keeping with good data science practice. Two real bugs were found and fixed during development (a retrieval index conflict, and a risk-classifier accuracy gap), both verified with before/after metrics.</w:t>
      </w:r>
    </w:p>
    <w:p>
      <w:pPr>
        <w:spacing w:after="150"/>
      </w:pPr>
      <w:r>
        <w:rPr>
          <w:i/>
          <w:iCs/>
          <w:color w:val="595959"/>
        </w:rPr>
        <w:t xml:space="preserve">Repository: github.com/Lakshu27/powered-Banking-Support-Fraud-Intelligence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AI-Powered Banking Support &amp; Fraud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2026-09-08T00:49:58.673Z</dcterms:created>
  <dcterms:modified xsi:type="dcterms:W3CDTF">2026-09-08T00:49:58.685Z</dcterms:modified>
</cp:coreProperties>
</file>

<file path=docProps/custom.xml><?xml version="1.0" encoding="utf-8"?>
<Properties xmlns="http://schemas.openxmlformats.org/officeDocument/2006/custom-properties" xmlns:vt="http://schemas.openxmlformats.org/officeDocument/2006/docPropsVTypes"/>
</file>