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w:t>
      </w:r>
    </w:p>
    <w:p>
      <w:pPr>
        <w:jc w:val="center"/>
      </w:pPr>
      <w:r>
        <w:rPr>
          <w:b/>
          <w:sz w:val="30"/>
        </w:rPr>
        <w:t>ALL-IN PRODUCT BLUEPRINT</w:t>
        <w:br/>
        <w:t>Agent-Native Consumer Advocacy Platform</w:t>
      </w:r>
    </w:p>
    <w:p>
      <w:r>
        <w:rPr>
          <w:b/>
        </w:rPr>
        <w:t>Purpose: a build-ready blueprint for a serious product and a winning WebMCP hackathon submission. The product is designed as a real platform, not a disposable demo.</w:t>
      </w:r>
    </w:p>
    <w:p>
      <w:pPr>
        <w:pStyle w:val="Heading1"/>
      </w:pPr>
      <w:r>
        <w:t>0. Executive decision</w:t>
      </w:r>
    </w:p>
    <w:p>
      <w:r>
        <w:rPr>
          <w:b w:val="0"/>
        </w:rPr>
        <w:t>Build Aegis: an agent-native consumer advocacy platform that turns messy consumer problems into verified, human-approved web actions.</w:t>
      </w:r>
    </w:p>
    <w:p>
      <w:r>
        <w:rPr>
          <w:b w:val="0"/>
        </w:rPr>
        <w:t>Core thesis: websites should expose capabilities to agents, not merely pages for humans to click. Aegis demonstrates the complete loop: understand → investigate → reason → prepare → request permission → execute through WebMCP → monitor → follow up → resolve.</w:t>
      </w:r>
    </w:p>
    <w:p>
      <w:r>
        <w:rPr>
          <w:b w:val="0"/>
        </w:rPr>
        <w:t>Do not position it as “an AI refund generator.” Position it as a consumer advocacy operating system whose first vertical is disputes, refunds, warranties, billing errors, compensation, and service failures.</w:t>
      </w:r>
    </w:p>
    <w:p>
      <w:pPr>
        <w:pStyle w:val="Heading1"/>
      </w:pPr>
      <w:r>
        <w:t>1. Hackathon winning strategy</w:t>
      </w:r>
    </w:p>
    <w:p>
      <w:r>
        <w:rPr>
          <w:b w:val="0"/>
        </w:rPr>
        <w:t>The supplied challenge materials make four areas equally important: WebMCP Leverage, Execution, Potential Impact, and Creativity &amp; Ambition. The project must therefore make WebMCP a core architectural capability, while remaining a polished and genuinely useful product.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Dimension</w:t>
            </w:r>
          </w:p>
        </w:tc>
        <w:tc>
          <w:tcPr>
            <w:tcW w:type="dxa" w:w="5112"/>
          </w:tcPr>
          <w:p>
            <w:r>
              <w:rPr>
                <w:b/>
              </w:rPr>
              <w:t>Winning proof</w:t>
            </w:r>
          </w:p>
        </w:tc>
      </w:tr>
      <w:tr>
        <w:tc>
          <w:tcPr>
            <w:tcW w:type="dxa" w:w="5112"/>
            <w:vAlign w:val="center"/>
          </w:tcPr>
          <w:p>
            <w:r>
              <w:t>WebMCP Leverage</w:t>
            </w:r>
          </w:p>
        </w:tc>
        <w:tc>
          <w:tcPr>
            <w:tcW w:type="dxa" w:w="5112"/>
            <w:vAlign w:val="center"/>
          </w:tcPr>
          <w:p>
            <w:r>
              <w:t>Multiple meaningful tools, tool discovery, cross-provider interoperability, real state changes.</w:t>
            </w:r>
          </w:p>
        </w:tc>
      </w:tr>
      <w:tr>
        <w:tc>
          <w:tcPr>
            <w:tcW w:type="dxa" w:w="5112"/>
            <w:vAlign w:val="center"/>
          </w:tcPr>
          <w:p>
            <w:r>
              <w:t>Execution</w:t>
            </w:r>
          </w:p>
        </w:tc>
        <w:tc>
          <w:tcPr>
            <w:tcW w:type="dxa" w:w="5112"/>
            <w:vAlign w:val="center"/>
          </w:tcPr>
          <w:p>
            <w:r>
              <w:t>Complete case lifecycle works end-to-end on a deployed app.</w:t>
            </w:r>
          </w:p>
        </w:tc>
      </w:tr>
      <w:tr>
        <w:tc>
          <w:tcPr>
            <w:tcW w:type="dxa" w:w="5112"/>
            <w:vAlign w:val="center"/>
          </w:tcPr>
          <w:p>
            <w:r>
              <w:t>Impact</w:t>
            </w:r>
          </w:p>
        </w:tc>
        <w:tc>
          <w:tcPr>
            <w:tcW w:type="dxa" w:w="5112"/>
            <w:vAlign w:val="center"/>
          </w:tcPr>
          <w:p>
            <w:r>
              <w:t>Real consumer pain, money/time recovered, proactive protection.</w:t>
            </w:r>
          </w:p>
        </w:tc>
      </w:tr>
      <w:tr>
        <w:tc>
          <w:tcPr>
            <w:tcW w:type="dxa" w:w="5112"/>
            <w:vAlign w:val="center"/>
          </w:tcPr>
          <w:p>
            <w:r>
              <w:t>Creativity</w:t>
            </w:r>
          </w:p>
        </w:tc>
        <w:tc>
          <w:tcPr>
            <w:tcW w:type="dxa" w:w="5112"/>
            <w:vAlign w:val="center"/>
          </w:tcPr>
          <w:p>
            <w:r>
              <w:t>Agent-native interaction model + permission system + proactive advocacy.</w:t>
            </w:r>
          </w:p>
        </w:tc>
      </w:tr>
    </w:tbl>
    <w:p>
      <w:r>
        <w:rPr>
          <w:b w:val="0"/>
        </w:rPr>
        <w:t>Submission constraints from the supplied rules: working live URL; public open-source repository with visible license; public YouTube demo under three minutes. Test in the supported WebMCP environment described by the challenge materials.</w:t>
      </w:r>
    </w:p>
    <w:p>
      <w:pPr>
        <w:pStyle w:val="Heading1"/>
      </w:pPr>
      <w:r>
        <w:t>2. Product vision</w:t>
      </w:r>
    </w:p>
    <w:p>
      <w:r>
        <w:rPr>
          <w:b w:val="0"/>
        </w:rPr>
        <w:t>One sentence: “Aegis finds what you are entitled to, builds the case, and—when you approve—uses the web to pursue it for you.”</w:t>
      </w:r>
    </w:p>
    <w:p>
      <w:r>
        <w:rPr>
          <w:b w:val="0"/>
        </w:rPr>
        <w:t>Long-term vision: become the trusted agentic layer between consumers and service providers for resolution, claims, refunds, warranties, compensation, and life-admin tasks.</w:t>
      </w:r>
    </w:p>
    <w:p>
      <w:pPr>
        <w:pStyle w:val="ListBullet"/>
      </w:pPr>
      <w:r>
        <w:t>Reactive: user brings a problem.</w:t>
      </w:r>
    </w:p>
    <w:p>
      <w:pPr>
        <w:pStyle w:val="ListBullet"/>
      </w:pPr>
      <w:r>
        <w:t>Proactive: Aegis identifies actionable problems.</w:t>
      </w:r>
    </w:p>
    <w:p>
      <w:pPr>
        <w:pStyle w:val="ListBullet"/>
      </w:pPr>
      <w:r>
        <w:t>Agentic: it performs multi-step workflows instead of only answering questions.</w:t>
      </w:r>
    </w:p>
    <w:p>
      <w:pPr>
        <w:pStyle w:val="ListBullet"/>
      </w:pPr>
      <w:r>
        <w:t>Human-controlled: consequential actions have explicit permission boundaries.</w:t>
      </w:r>
    </w:p>
    <w:p>
      <w:pPr>
        <w:pStyle w:val="ListBullet"/>
      </w:pPr>
      <w:r>
        <w:t>Auditable: every conclusion, evidence item, tool call, and state change is recorded.</w:t>
      </w:r>
    </w:p>
    <w:p>
      <w:pPr>
        <w:pStyle w:val="ListBullet"/>
      </w:pPr>
      <w:r>
        <w:t>Web-native: providers expose structured capabilities through WebMCP.</w:t>
      </w:r>
    </w:p>
    <w:p>
      <w:pPr>
        <w:pStyle w:val="Heading1"/>
      </w:pPr>
      <w:r>
        <w:t>3. Primary user and beachhead</w:t>
      </w:r>
    </w:p>
    <w:p>
      <w:r>
        <w:rPr>
          <w:b w:val="0"/>
        </w:rPr>
        <w:t>Primary user: a busy consumer who regularly deals with subscriptions, travel, purchases, warranties, invoices, and service providers but hates fighting through support processes.</w:t>
      </w:r>
    </w:p>
    <w:p>
      <w:r>
        <w:rPr>
          <w:b w:val="0"/>
        </w:rPr>
        <w:t>Beachhead use cases:</w:t>
      </w:r>
    </w:p>
    <w:p>
      <w:pPr>
        <w:pStyle w:val="ListBullet"/>
      </w:pPr>
      <w:r>
        <w:t>Unexpected or duplicate charges</w:t>
      </w:r>
    </w:p>
    <w:p>
      <w:pPr>
        <w:pStyle w:val="ListBullet"/>
      </w:pPr>
      <w:r>
        <w:t>Subscription charged after cancellation</w:t>
      </w:r>
    </w:p>
    <w:p>
      <w:pPr>
        <w:pStyle w:val="ListBullet"/>
      </w:pPr>
      <w:r>
        <w:t>Refund not received</w:t>
      </w:r>
    </w:p>
    <w:p>
      <w:pPr>
        <w:pStyle w:val="ListBullet"/>
      </w:pPr>
      <w:r>
        <w:t>Flight cancellation / compensation claim</w:t>
      </w:r>
    </w:p>
    <w:p>
      <w:pPr>
        <w:pStyle w:val="ListBullet"/>
      </w:pPr>
      <w:r>
        <w:t>Retail return or warranty claim</w:t>
      </w:r>
    </w:p>
    <w:p>
      <w:pPr>
        <w:pStyle w:val="ListBullet"/>
      </w:pPr>
      <w:r>
        <w:t>Service failure / billing dispute</w:t>
      </w:r>
    </w:p>
    <w:p>
      <w:r>
        <w:rPr>
          <w:b w:val="0"/>
        </w:rPr>
        <w:t>Avoid regulated legal/medical/financial advice claims. The system should frame results as “potential entitlement” or “recommended action,” surface evidence, and require human approval for consequential submissions.</w:t>
      </w:r>
    </w:p>
    <w:p>
      <w:pPr>
        <w:pStyle w:val="Heading1"/>
      </w:pPr>
      <w:r>
        <w:t>4. Core user journey</w:t>
      </w:r>
    </w:p>
    <w:p>
      <w:pPr>
        <w:pStyle w:val="ListNumber"/>
      </w:pPr>
      <w:r>
        <w:t>User opens the command center and sees cases, potential money at risk, and tasks requiring approval.</w:t>
      </w:r>
    </w:p>
    <w:p>
      <w:pPr>
        <w:pStyle w:val="ListNumber"/>
      </w:pPr>
      <w:r>
        <w:t>User uploads a receipt, invoice, email, screenshot, or document—or connects a supported source.</w:t>
      </w:r>
    </w:p>
    <w:p>
      <w:pPr>
        <w:pStyle w:val="ListNumber"/>
      </w:pPr>
      <w:r>
        <w:t>AI extracts facts into a structured case without inventing missing facts.</w:t>
      </w:r>
    </w:p>
    <w:p>
      <w:pPr>
        <w:pStyle w:val="ListNumber"/>
      </w:pPr>
      <w:r>
        <w:t>Evidence and events are normalized into a case timeline.</w:t>
      </w:r>
    </w:p>
    <w:p>
      <w:pPr>
        <w:pStyle w:val="ListNumber"/>
      </w:pPr>
      <w:r>
        <w:t>Policy and provider information are retrieved through authorized capabilities.</w:t>
      </w:r>
    </w:p>
    <w:p>
      <w:pPr>
        <w:pStyle w:val="ListNumber"/>
      </w:pPr>
      <w:r>
        <w:t>Eligibility engine evaluates the case against explicit rules and evidence.</w:t>
      </w:r>
    </w:p>
    <w:p>
      <w:pPr>
        <w:pStyle w:val="ListNumber"/>
      </w:pPr>
      <w:r>
        <w:t>Agent produces one or more resolution strategies with expected outcomes and rationale.</w:t>
      </w:r>
    </w:p>
    <w:p>
      <w:pPr>
        <w:pStyle w:val="ListNumber"/>
      </w:pPr>
      <w:r>
        <w:t>Evidence package and claim are assembled.</w:t>
      </w:r>
    </w:p>
    <w:p>
      <w:pPr>
        <w:pStyle w:val="ListNumber"/>
      </w:pPr>
      <w:r>
        <w:t>User reviews the claim and sees exactly what will happen.</w:t>
      </w:r>
    </w:p>
    <w:p>
      <w:pPr>
        <w:pStyle w:val="ListNumber"/>
      </w:pPr>
      <w:r>
        <w:t>Permission engine checks whether the requested action is allowed automatically or requires approval.</w:t>
      </w:r>
    </w:p>
    <w:p>
      <w:pPr>
        <w:pStyle w:val="ListNumber"/>
      </w:pPr>
      <w:r>
        <w:t>Agent invokes the appropriate WebMCP tool(s).</w:t>
      </w:r>
    </w:p>
    <w:p>
      <w:pPr>
        <w:pStyle w:val="ListNumber"/>
      </w:pPr>
      <w:r>
        <w:t>Provider confirms the action and Aegis records the event.</w:t>
      </w:r>
    </w:p>
    <w:p>
      <w:pPr>
        <w:pStyle w:val="ListNumber"/>
      </w:pPr>
      <w:r>
        <w:t>Agent monitors the case and requests more information when necessary.</w:t>
      </w:r>
    </w:p>
    <w:p>
      <w:pPr>
        <w:pStyle w:val="ListNumber"/>
      </w:pPr>
      <w:r>
        <w:t>Agent follows up when the configured conditions are met.</w:t>
      </w:r>
    </w:p>
    <w:p>
      <w:pPr>
        <w:pStyle w:val="ListNumber"/>
      </w:pPr>
      <w:r>
        <w:t>Resolution is recorded; money/time/value recovered is summarized.</w:t>
      </w:r>
    </w:p>
    <w:p>
      <w:pPr>
        <w:pStyle w:val="Heading1"/>
      </w:pPr>
      <w:r>
        <w:t>5.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Purpose</w:t>
            </w:r>
          </w:p>
        </w:tc>
        <w:tc>
          <w:tcPr>
            <w:tcW w:type="dxa" w:w="3408"/>
          </w:tcPr>
          <w:p>
            <w:r>
              <w:rPr>
                <w:b/>
              </w:rPr>
              <w:t>Must-have screens</w:t>
            </w:r>
          </w:p>
        </w:tc>
      </w:tr>
      <w:tr>
        <w:tc>
          <w:tcPr>
            <w:tcW w:type="dxa" w:w="3408"/>
            <w:vAlign w:val="center"/>
          </w:tcPr>
          <w:p>
            <w:r>
              <w:t>Command Center</w:t>
            </w:r>
          </w:p>
        </w:tc>
        <w:tc>
          <w:tcPr>
            <w:tcW w:type="dxa" w:w="3408"/>
            <w:vAlign w:val="center"/>
          </w:tcPr>
          <w:p>
            <w:r>
              <w:t>Overview of consumer advocacy work</w:t>
            </w:r>
          </w:p>
        </w:tc>
        <w:tc>
          <w:tcPr>
            <w:tcW w:type="dxa" w:w="3408"/>
            <w:vAlign w:val="center"/>
          </w:tcPr>
          <w:p>
            <w:r>
              <w:t>Home, notifications, money-at-risk</w:t>
            </w:r>
          </w:p>
        </w:tc>
      </w:tr>
      <w:tr>
        <w:tc>
          <w:tcPr>
            <w:tcW w:type="dxa" w:w="3408"/>
            <w:vAlign w:val="center"/>
          </w:tcPr>
          <w:p>
            <w:r>
              <w:t>Cases</w:t>
            </w:r>
          </w:p>
        </w:tc>
        <w:tc>
          <w:tcPr>
            <w:tcW w:type="dxa" w:w="3408"/>
            <w:vAlign w:val="center"/>
          </w:tcPr>
          <w:p>
            <w:r>
              <w:t>Case lifecycle</w:t>
            </w:r>
          </w:p>
        </w:tc>
        <w:tc>
          <w:tcPr>
            <w:tcW w:type="dxa" w:w="3408"/>
            <w:vAlign w:val="center"/>
          </w:tcPr>
          <w:p>
            <w:r>
              <w:t>Case list, case detail, timeline</w:t>
            </w:r>
          </w:p>
        </w:tc>
      </w:tr>
      <w:tr>
        <w:tc>
          <w:tcPr>
            <w:tcW w:type="dxa" w:w="3408"/>
            <w:vAlign w:val="center"/>
          </w:tcPr>
          <w:p>
            <w:r>
              <w:t>New Case</w:t>
            </w:r>
          </w:p>
        </w:tc>
        <w:tc>
          <w:tcPr>
            <w:tcW w:type="dxa" w:w="3408"/>
            <w:vAlign w:val="center"/>
          </w:tcPr>
          <w:p>
            <w:r>
              <w:t>Start from evidence or intent</w:t>
            </w:r>
          </w:p>
        </w:tc>
        <w:tc>
          <w:tcPr>
            <w:tcW w:type="dxa" w:w="3408"/>
            <w:vAlign w:val="center"/>
          </w:tcPr>
          <w:p>
            <w:r>
              <w:t>Upload, classify, confirm</w:t>
            </w:r>
          </w:p>
        </w:tc>
      </w:tr>
      <w:tr>
        <w:tc>
          <w:tcPr>
            <w:tcW w:type="dxa" w:w="3408"/>
            <w:vAlign w:val="center"/>
          </w:tcPr>
          <w:p>
            <w:r>
              <w:t>Investigation</w:t>
            </w:r>
          </w:p>
        </w:tc>
        <w:tc>
          <w:tcPr>
            <w:tcW w:type="dxa" w:w="3408"/>
            <w:vAlign w:val="center"/>
          </w:tcPr>
          <w:p>
            <w:r>
              <w:t>Explain why a case matters</w:t>
            </w:r>
          </w:p>
        </w:tc>
        <w:tc>
          <w:tcPr>
            <w:tcW w:type="dxa" w:w="3408"/>
            <w:vAlign w:val="center"/>
          </w:tcPr>
          <w:p>
            <w:r>
              <w:t>Evidence, policy, eligibility</w:t>
            </w:r>
          </w:p>
        </w:tc>
      </w:tr>
      <w:tr>
        <w:tc>
          <w:tcPr>
            <w:tcW w:type="dxa" w:w="3408"/>
            <w:vAlign w:val="center"/>
          </w:tcPr>
          <w:p>
            <w:r>
              <w:t>Action</w:t>
            </w:r>
          </w:p>
        </w:tc>
        <w:tc>
          <w:tcPr>
            <w:tcW w:type="dxa" w:w="3408"/>
            <w:vAlign w:val="center"/>
          </w:tcPr>
          <w:p>
            <w:r>
              <w:t>Human approval and execution</w:t>
            </w:r>
          </w:p>
        </w:tc>
        <w:tc>
          <w:tcPr>
            <w:tcW w:type="dxa" w:w="3408"/>
            <w:vAlign w:val="center"/>
          </w:tcPr>
          <w:p>
            <w:r>
              <w:t>Claim review, permissions, execution</w:t>
            </w:r>
          </w:p>
        </w:tc>
      </w:tr>
      <w:tr>
        <w:tc>
          <w:tcPr>
            <w:tcW w:type="dxa" w:w="3408"/>
            <w:vAlign w:val="center"/>
          </w:tcPr>
          <w:p>
            <w:r>
              <w:t>Monitoring</w:t>
            </w:r>
          </w:p>
        </w:tc>
        <w:tc>
          <w:tcPr>
            <w:tcW w:type="dxa" w:w="3408"/>
            <w:vAlign w:val="center"/>
          </w:tcPr>
          <w:p>
            <w:r>
              <w:t>Track unresolved cases</w:t>
            </w:r>
          </w:p>
        </w:tc>
        <w:tc>
          <w:tcPr>
            <w:tcW w:type="dxa" w:w="3408"/>
            <w:vAlign w:val="center"/>
          </w:tcPr>
          <w:p>
            <w:r>
              <w:t>Status, requested info, follow-ups</w:t>
            </w:r>
          </w:p>
        </w:tc>
      </w:tr>
      <w:tr>
        <w:tc>
          <w:tcPr>
            <w:tcW w:type="dxa" w:w="3408"/>
            <w:vAlign w:val="center"/>
          </w:tcPr>
          <w:p>
            <w:r>
              <w:t>Agent Console</w:t>
            </w:r>
          </w:p>
        </w:tc>
        <w:tc>
          <w:tcPr>
            <w:tcW w:type="dxa" w:w="3408"/>
            <w:vAlign w:val="center"/>
          </w:tcPr>
          <w:p>
            <w:r>
              <w:t>Make WebMCP visible</w:t>
            </w:r>
          </w:p>
        </w:tc>
        <w:tc>
          <w:tcPr>
            <w:tcW w:type="dxa" w:w="3408"/>
            <w:vAlign w:val="center"/>
          </w:tcPr>
          <w:p>
            <w:r>
              <w:t>Capabilities, tool calls, permissions</w:t>
            </w:r>
          </w:p>
        </w:tc>
      </w:tr>
      <w:tr>
        <w:tc>
          <w:tcPr>
            <w:tcW w:type="dxa" w:w="3408"/>
            <w:vAlign w:val="center"/>
          </w:tcPr>
          <w:p>
            <w:r>
              <w:t>Settings</w:t>
            </w:r>
          </w:p>
        </w:tc>
        <w:tc>
          <w:tcPr>
            <w:tcW w:type="dxa" w:w="3408"/>
            <w:vAlign w:val="center"/>
          </w:tcPr>
          <w:p>
            <w:r>
              <w:t>Trust and control</w:t>
            </w:r>
          </w:p>
        </w:tc>
        <w:tc>
          <w:tcPr>
            <w:tcW w:type="dxa" w:w="3408"/>
            <w:vAlign w:val="center"/>
          </w:tcPr>
          <w:p>
            <w:r>
              <w:t>Autonomy, data sources, privacy, integrations</w:t>
            </w:r>
          </w:p>
        </w:tc>
      </w:tr>
    </w:tbl>
    <w:p>
      <w:pPr>
        <w:pStyle w:val="Heading1"/>
      </w:pPr>
      <w:r>
        <w:t>6. Command Center UX</w:t>
      </w:r>
    </w:p>
    <w:p>
      <w:r>
        <w:rPr>
          <w:b w:val="0"/>
        </w:rPr>
        <w:t>Do not make the homepage a chat screen. It should communicate status immediately.</w:t>
      </w:r>
    </w:p>
    <w:p>
      <w:pPr>
        <w:ind w:left="360"/>
      </w:pPr>
      <w:r>
        <w:rPr>
          <w:rFonts w:ascii="Consolas" w:hAnsi="Consolas"/>
          <w:sz w:val="17"/>
        </w:rPr>
        <w:t>MONEY AT RISK</w:t>
        <w:br/>
        <w:t>€427.80</w:t>
        <w:br/>
        <w:br/>
        <w:t>ACTION REQUIRED</w:t>
        <w:br/>
        <w:t>• Airline cancellation — €183.40 — Ready to submit</w:t>
        <w:br/>
        <w:t>• Warranty claim — €194.41 — Review evidence</w:t>
        <w:br/>
        <w:br/>
        <w:t>IN PROGRESS</w:t>
        <w:br/>
        <w:t>• Subscription refund — Merchant reviewing</w:t>
        <w:br/>
        <w:br/>
        <w:t>PROACTIVE FINDINGS</w:t>
        <w:br/>
        <w:t>• Subscription charged 1 day after cancellation</w:t>
        <w:br/>
        <w:t>• Warranty expires in 14 days</w:t>
        <w:br/>
        <w:br/>
        <w:t>[Start a new case]</w:t>
      </w:r>
    </w:p>
    <w:p>
      <w:r>
        <w:rPr>
          <w:b w:val="0"/>
        </w:rPr>
        <w:t>Design language: premium financial/operations product; calm, trustworthy, high information density without visual clutter. Use motion to explain state transitions, not decoration.</w:t>
      </w:r>
    </w:p>
    <w:p>
      <w:pPr>
        <w:pStyle w:val="Heading1"/>
      </w:pPr>
      <w:r>
        <w:t>7. Case detail UX</w:t>
      </w:r>
    </w:p>
    <w:p>
      <w:r>
        <w:rPr>
          <w:b w:val="0"/>
        </w:rPr>
        <w:t>Every case has a persistent header: provider, case type, amount, status, confidence, next action.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Section</w:t>
            </w:r>
          </w:p>
        </w:tc>
        <w:tc>
          <w:tcPr>
            <w:tcW w:type="dxa" w:w="5112"/>
          </w:tcPr>
          <w:p>
            <w:r>
              <w:rPr>
                <w:b/>
              </w:rPr>
              <w:t>Content</w:t>
            </w:r>
          </w:p>
        </w:tc>
      </w:tr>
      <w:tr>
        <w:tc>
          <w:tcPr>
            <w:tcW w:type="dxa" w:w="5112"/>
            <w:vAlign w:val="center"/>
          </w:tcPr>
          <w:p>
            <w:r>
              <w:t>Summary</w:t>
            </w:r>
          </w:p>
        </w:tc>
        <w:tc>
          <w:tcPr>
            <w:tcW w:type="dxa" w:w="5112"/>
            <w:vAlign w:val="center"/>
          </w:tcPr>
          <w:p>
            <w:r>
              <w:t>What happened, why it matters, recommended action</w:t>
            </w:r>
          </w:p>
        </w:tc>
      </w:tr>
      <w:tr>
        <w:tc>
          <w:tcPr>
            <w:tcW w:type="dxa" w:w="5112"/>
            <w:vAlign w:val="center"/>
          </w:tcPr>
          <w:p>
            <w:r>
              <w:t>Timeline</w:t>
            </w:r>
          </w:p>
        </w:tc>
        <w:tc>
          <w:tcPr>
            <w:tcW w:type="dxa" w:w="5112"/>
            <w:vAlign w:val="center"/>
          </w:tcPr>
          <w:p>
            <w:r>
              <w:t>Chronological verified events</w:t>
            </w:r>
          </w:p>
        </w:tc>
      </w:tr>
      <w:tr>
        <w:tc>
          <w:tcPr>
            <w:tcW w:type="dxa" w:w="5112"/>
            <w:vAlign w:val="center"/>
          </w:tcPr>
          <w:p>
            <w:r>
              <w:t>Evidence</w:t>
            </w:r>
          </w:p>
        </w:tc>
        <w:tc>
          <w:tcPr>
            <w:tcW w:type="dxa" w:w="5112"/>
            <w:vAlign w:val="center"/>
          </w:tcPr>
          <w:p>
            <w:r>
              <w:t>Source documents, extracted facts, provenance</w:t>
            </w:r>
          </w:p>
        </w:tc>
      </w:tr>
      <w:tr>
        <w:tc>
          <w:tcPr>
            <w:tcW w:type="dxa" w:w="5112"/>
            <w:vAlign w:val="center"/>
          </w:tcPr>
          <w:p>
            <w:r>
              <w:t>Policy</w:t>
            </w:r>
          </w:p>
        </w:tc>
        <w:tc>
          <w:tcPr>
            <w:tcW w:type="dxa" w:w="5112"/>
            <w:vAlign w:val="center"/>
          </w:tcPr>
          <w:p>
            <w:r>
              <w:t>Relevant provider policy and supporting passages</w:t>
            </w:r>
          </w:p>
        </w:tc>
      </w:tr>
      <w:tr>
        <w:tc>
          <w:tcPr>
            <w:tcW w:type="dxa" w:w="5112"/>
            <w:vAlign w:val="center"/>
          </w:tcPr>
          <w:p>
            <w:r>
              <w:t>Eligibility</w:t>
            </w:r>
          </w:p>
        </w:tc>
        <w:tc>
          <w:tcPr>
            <w:tcW w:type="dxa" w:w="5112"/>
            <w:vAlign w:val="center"/>
          </w:tcPr>
          <w:p>
            <w:r>
              <w:t>Rules checked, passed/failed/unknown</w:t>
            </w:r>
          </w:p>
        </w:tc>
      </w:tr>
      <w:tr>
        <w:tc>
          <w:tcPr>
            <w:tcW w:type="dxa" w:w="5112"/>
            <w:vAlign w:val="center"/>
          </w:tcPr>
          <w:p>
            <w:r>
              <w:t>Strategy</w:t>
            </w:r>
          </w:p>
        </w:tc>
        <w:tc>
          <w:tcPr>
            <w:tcW w:type="dxa" w:w="5112"/>
            <w:vAlign w:val="center"/>
          </w:tcPr>
          <w:p>
            <w:r>
              <w:t>Candidate resolution strategies and tradeoffs</w:t>
            </w:r>
          </w:p>
        </w:tc>
      </w:tr>
      <w:tr>
        <w:tc>
          <w:tcPr>
            <w:tcW w:type="dxa" w:w="5112"/>
            <w:vAlign w:val="center"/>
          </w:tcPr>
          <w:p>
            <w:r>
              <w:t>Claim</w:t>
            </w:r>
          </w:p>
        </w:tc>
        <w:tc>
          <w:tcPr>
            <w:tcW w:type="dxa" w:w="5112"/>
            <w:vAlign w:val="center"/>
          </w:tcPr>
          <w:p>
            <w:r>
              <w:t>Requested resolution and exact amount</w:t>
            </w:r>
          </w:p>
        </w:tc>
      </w:tr>
      <w:tr>
        <w:tc>
          <w:tcPr>
            <w:tcW w:type="dxa" w:w="5112"/>
            <w:vAlign w:val="center"/>
          </w:tcPr>
          <w:p>
            <w:r>
              <w:t>Agent activity</w:t>
            </w:r>
          </w:p>
        </w:tc>
        <w:tc>
          <w:tcPr>
            <w:tcW w:type="dxa" w:w="5112"/>
            <w:vAlign w:val="center"/>
          </w:tcPr>
          <w:p>
            <w:r>
              <w:t>Human-readable tool/action events</w:t>
            </w:r>
          </w:p>
        </w:tc>
      </w:tr>
      <w:tr>
        <w:tc>
          <w:tcPr>
            <w:tcW w:type="dxa" w:w="5112"/>
            <w:vAlign w:val="center"/>
          </w:tcPr>
          <w:p>
            <w:r>
              <w:t>Permissions</w:t>
            </w:r>
          </w:p>
        </w:tc>
        <w:tc>
          <w:tcPr>
            <w:tcW w:type="dxa" w:w="5112"/>
            <w:vAlign w:val="center"/>
          </w:tcPr>
          <w:p>
            <w:r>
              <w:t>What the agent may and may not do</w:t>
            </w:r>
          </w:p>
        </w:tc>
      </w:tr>
      <w:tr>
        <w:tc>
          <w:tcPr>
            <w:tcW w:type="dxa" w:w="5112"/>
            <w:vAlign w:val="center"/>
          </w:tcPr>
          <w:p>
            <w:r>
              <w:t>Resolution</w:t>
            </w:r>
          </w:p>
        </w:tc>
        <w:tc>
          <w:tcPr>
            <w:tcW w:type="dxa" w:w="5112"/>
            <w:vAlign w:val="center"/>
          </w:tcPr>
          <w:p>
            <w:r>
              <w:t>Outcome, recovered value, time saved</w:t>
            </w:r>
          </w:p>
        </w:tc>
      </w:tr>
    </w:tbl>
    <w:p>
      <w:pPr>
        <w:pStyle w:val="Heading1"/>
      </w:pPr>
      <w:r>
        <w:t>8. Signature feature: Show Me the Money</w:t>
      </w:r>
    </w:p>
    <w:p>
      <w:r>
        <w:rPr>
          <w:b w:val="0"/>
        </w:rPr>
        <w:t>The first-use wow moment.</w:t>
      </w:r>
    </w:p>
    <w:p>
      <w:pPr>
        <w:pStyle w:val="ListNumber"/>
      </w:pPr>
      <w:r>
        <w:t>Upload a confusing €742 invoice.</w:t>
      </w:r>
    </w:p>
    <w:p>
      <w:pPr>
        <w:pStyle w:val="ListNumber"/>
      </w:pPr>
      <w:r>
        <w:t>Aegis reconstructs the timeline.</w:t>
      </w:r>
    </w:p>
    <w:p>
      <w:pPr>
        <w:pStyle w:val="ListNumber"/>
      </w:pPr>
      <w:r>
        <w:t>It detects a duplicate/cancellation-related charge.</w:t>
      </w:r>
    </w:p>
    <w:p>
      <w:pPr>
        <w:pStyle w:val="ListNumber"/>
      </w:pPr>
      <w:r>
        <w:t>It surfaces the relevant policy and supporting evidence.</w:t>
      </w:r>
    </w:p>
    <w:p>
      <w:pPr>
        <w:pStyle w:val="ListNumber"/>
      </w:pPr>
      <w:r>
        <w:t>It calculates €183.40 potentially recoverable.</w:t>
      </w:r>
    </w:p>
    <w:p>
      <w:pPr>
        <w:pStyle w:val="ListNumber"/>
      </w:pPr>
      <w:r>
        <w:t>It builds a complete dispute package.</w:t>
      </w:r>
    </w:p>
    <w:p>
      <w:pPr>
        <w:pStyle w:val="ListNumber"/>
      </w:pPr>
      <w:r>
        <w:t>It asks for approval.</w:t>
      </w:r>
    </w:p>
    <w:p>
      <w:pPr>
        <w:pStyle w:val="ListNumber"/>
      </w:pPr>
      <w:r>
        <w:t>User clicks Approve.</w:t>
      </w:r>
    </w:p>
    <w:p>
      <w:pPr>
        <w:pStyle w:val="ListNumber"/>
      </w:pPr>
      <w:r>
        <w:t>WebMCP submit_dispute executes on the provider site.</w:t>
      </w:r>
    </w:p>
    <w:p>
      <w:pPr>
        <w:pStyle w:val="ListNumber"/>
      </w:pPr>
      <w:r>
        <w:t>Provider returns a case number.</w:t>
      </w:r>
    </w:p>
    <w:p>
      <w:pPr>
        <w:pStyle w:val="ListNumber"/>
      </w:pPr>
      <w:r>
        <w:t>UI transitions from “problem” to “claim submitted.”</w:t>
      </w:r>
    </w:p>
    <w:p>
      <w:r>
        <w:rPr>
          <w:b w:val="0"/>
        </w:rPr>
        <w:t>The key visual transformation is: messy evidence → verified case → money at stake → evidence-backed action → real web execution.</w:t>
      </w:r>
    </w:p>
    <w:p>
      <w:pPr>
        <w:pStyle w:val="Heading1"/>
      </w:pPr>
      <w:r>
        <w:t>9. Second signature feature: Agent Permission Center</w:t>
      </w:r>
    </w:p>
    <w:p>
      <w:r>
        <w:rPr>
          <w:b w:val="0"/>
        </w:rPr>
        <w:t>Give the user granular autonomy controls.</w:t>
      </w:r>
    </w:p>
    <w:p>
      <w:pPr>
        <w:ind w:left="360"/>
      </w:pPr>
      <w:r>
        <w:rPr>
          <w:rFonts w:ascii="Consolas" w:hAnsi="Consolas"/>
          <w:sz w:val="17"/>
        </w:rPr>
        <w:t>INVESTIGATE                    ALLOWED</w:t>
        <w:br/>
        <w:t>READ CONNECTED EVIDENCE        ALLOWED</w:t>
        <w:br/>
        <w:t>PREPARE CLAIMS                 ALLOWED</w:t>
        <w:br/>
        <w:t>SUBMIT CLAIMS &lt; €50            ALLOWED</w:t>
        <w:br/>
        <w:t>SUBMIT CLAIMS €50–€100         ASK ME</w:t>
        <w:br/>
        <w:t>SUBMIT CLAIMS &gt; €100           ASK ME</w:t>
        <w:br/>
        <w:t>ACCEPT SETTLEMENT              ASK ME</w:t>
        <w:br/>
        <w:t>MAKE PURCHASES                 NEVER</w:t>
      </w:r>
    </w:p>
    <w:p>
      <w:r>
        <w:rPr>
          <w:b w:val="0"/>
        </w:rPr>
        <w:t>Every consequential tool invocation checks this policy before execution. This becomes a central trust differentiator.</w:t>
      </w:r>
    </w:p>
    <w:p>
      <w:pPr>
        <w:pStyle w:val="Heading1"/>
      </w:pPr>
      <w:r>
        <w:t>10. Proactive Consumer Guardian</w:t>
      </w:r>
    </w:p>
    <w:p>
      <w:r>
        <w:rPr>
          <w:b w:val="0"/>
        </w:rPr>
        <w:t>After the core lifecycle is reliable, add a proactive layer. It scans authorized consumer data for actionable events.</w:t>
      </w:r>
    </w:p>
    <w:p>
      <w:pPr>
        <w:pStyle w:val="ListBullet"/>
      </w:pPr>
      <w:r>
        <w:t>Duplicate charge detected.</w:t>
      </w:r>
    </w:p>
    <w:p>
      <w:pPr>
        <w:pStyle w:val="ListBullet"/>
      </w:pPr>
      <w:r>
        <w:t>Subscription appears to have billed after cancellation.</w:t>
      </w:r>
    </w:p>
    <w:p>
      <w:pPr>
        <w:pStyle w:val="ListBullet"/>
      </w:pPr>
      <w:r>
        <w:t>Warranty expiration approaching.</w:t>
      </w:r>
    </w:p>
    <w:p>
      <w:pPr>
        <w:pStyle w:val="ListBullet"/>
      </w:pPr>
      <w:r>
        <w:t>Refund expected but not received.</w:t>
      </w:r>
    </w:p>
    <w:p>
      <w:pPr>
        <w:pStyle w:val="ListBullet"/>
      </w:pPr>
      <w:r>
        <w:t>Potential compensation opportunity detected.</w:t>
      </w:r>
    </w:p>
    <w:p>
      <w:pPr>
        <w:pStyle w:val="ListBullet"/>
      </w:pPr>
      <w:r>
        <w:t>Provider requested missing evidence.</w:t>
      </w:r>
    </w:p>
    <w:p>
      <w:pPr>
        <w:pStyle w:val="ListBullet"/>
      </w:pPr>
      <w:r>
        <w:t>Case has gone inactive and may need follow-up.</w:t>
      </w:r>
    </w:p>
    <w:p>
      <w:r>
        <w:rPr>
          <w:b w:val="0"/>
        </w:rPr>
        <w:t>The product should say “I found something worth acting on,” not overwhelm the user with alerts.</w:t>
      </w:r>
    </w:p>
    <w:p>
      <w:pPr>
        <w:pStyle w:val="Heading1"/>
      </w:pPr>
      <w:r>
        <w:t>11. WebMCP architecture</w:t>
      </w:r>
    </w:p>
    <w:p>
      <w:r>
        <w:rPr>
          <w:b w:val="0"/>
        </w:rPr>
        <w:t>Create a provider simulator ecosystem that behaves like real websites and exposes genuine tools. The tools must cause state changes; they must not be decorative fake calls.</w:t>
      </w:r>
    </w:p>
    <w:p>
      <w:r>
        <w:rPr>
          <w:b w:val="0"/>
        </w:rPr>
        <w:t>Target provider set: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Provider</w:t>
            </w:r>
          </w:p>
        </w:tc>
        <w:tc>
          <w:tcPr>
            <w:tcW w:type="dxa" w:w="3408"/>
          </w:tcPr>
          <w:p>
            <w:r>
              <w:rPr>
                <w:b/>
              </w:rPr>
              <w:t>Domain</w:t>
            </w:r>
          </w:p>
        </w:tc>
        <w:tc>
          <w:tcPr>
            <w:tcW w:type="dxa" w:w="3408"/>
          </w:tcPr>
          <w:p>
            <w:r>
              <w:rPr>
                <w:b/>
              </w:rPr>
              <w:t>Representative tools</w:t>
            </w:r>
          </w:p>
        </w:tc>
      </w:tr>
      <w:tr>
        <w:tc>
          <w:tcPr>
            <w:tcW w:type="dxa" w:w="3408"/>
            <w:vAlign w:val="center"/>
          </w:tcPr>
          <w:p>
            <w:r>
              <w:t>FlyRight</w:t>
            </w:r>
          </w:p>
        </w:tc>
        <w:tc>
          <w:tcPr>
            <w:tcW w:type="dxa" w:w="3408"/>
            <w:vAlign w:val="center"/>
          </w:tcPr>
          <w:p>
            <w:r>
              <w:t>Airline</w:t>
            </w:r>
          </w:p>
        </w:tc>
        <w:tc>
          <w:tcPr>
            <w:tcW w:type="dxa" w:w="3408"/>
            <w:vAlign w:val="center"/>
          </w:tcPr>
          <w:p>
            <w:r>
              <w:t>get_booking, get_flight_status, get_policy, calculate_compensation, submit_claim, get_claim_status</w:t>
            </w:r>
          </w:p>
        </w:tc>
      </w:tr>
      <w:tr>
        <w:tc>
          <w:tcPr>
            <w:tcW w:type="dxa" w:w="3408"/>
            <w:vAlign w:val="center"/>
          </w:tcPr>
          <w:p>
            <w:r>
              <w:t>Streamly</w:t>
            </w:r>
          </w:p>
        </w:tc>
        <w:tc>
          <w:tcPr>
            <w:tcW w:type="dxa" w:w="3408"/>
            <w:vAlign w:val="center"/>
          </w:tcPr>
          <w:p>
            <w:r>
              <w:t>Subscription</w:t>
            </w:r>
          </w:p>
        </w:tc>
        <w:tc>
          <w:tcPr>
            <w:tcW w:type="dxa" w:w="3408"/>
            <w:vAlign w:val="center"/>
          </w:tcPr>
          <w:p>
            <w:r>
              <w:t>get_subscription, get_billing_history, get_cancellation_policy, cancel_subscription, request_refund, get_case_status</w:t>
            </w:r>
          </w:p>
        </w:tc>
      </w:tr>
      <w:tr>
        <w:tc>
          <w:tcPr>
            <w:tcW w:type="dxa" w:w="3408"/>
            <w:vAlign w:val="center"/>
          </w:tcPr>
          <w:p>
            <w:r>
              <w:t>ElectroMart</w:t>
            </w:r>
          </w:p>
        </w:tc>
        <w:tc>
          <w:tcPr>
            <w:tcW w:type="dxa" w:w="3408"/>
            <w:vAlign w:val="center"/>
          </w:tcPr>
          <w:p>
            <w:r>
              <w:t>Retail</w:t>
            </w:r>
          </w:p>
        </w:tc>
        <w:tc>
          <w:tcPr>
            <w:tcW w:type="dxa" w:w="3408"/>
            <w:vAlign w:val="center"/>
          </w:tcPr>
          <w:p>
            <w:r>
              <w:t>get_order, get_return_policy, get_warranty, create_return, submit_warranty_claim, get_case_status</w:t>
            </w:r>
          </w:p>
        </w:tc>
      </w:tr>
    </w:tbl>
    <w:p>
      <w:r>
        <w:rPr>
          <w:b w:val="0"/>
        </w:rPr>
        <w:t>Build the tool layer so Aegis can discover capabilities instead of hardcoding provider-specific button sequences.</w:t>
      </w:r>
    </w:p>
    <w:p>
      <w:pPr>
        <w:pStyle w:val="Heading1"/>
      </w:pPr>
      <w:r>
        <w:t>12. WebMCP tool contract</w:t>
      </w:r>
    </w:p>
    <w:p>
      <w:pPr>
        <w:ind w:left="360"/>
      </w:pPr>
      <w:r>
        <w:rPr>
          <w:rFonts w:ascii="Consolas" w:hAnsi="Consolas"/>
          <w:sz w:val="17"/>
        </w:rPr>
        <w:t>Example tool shape</w:t>
        <w:br/>
        <w:br/>
        <w:t>document.modelContext.registerTool({</w:t>
        <w:br/>
        <w:t xml:space="preserve">  name: "submit_dispute",</w:t>
        <w:br/>
        <w:t xml:space="preserve">  description: "Submit a reviewed consumer dispute",</w:t>
        <w:br/>
        <w:t xml:space="preserve">  inputSchema: {</w:t>
        <w:br/>
        <w:t xml:space="preserve">    type: "object",</w:t>
        <w:br/>
        <w:t xml:space="preserve">    properties: {</w:t>
        <w:br/>
        <w:t xml:space="preserve">      caseId: { type: "string" },</w:t>
        <w:br/>
        <w:t xml:space="preserve">      amount: { type: "number" },</w:t>
        <w:br/>
        <w:t xml:space="preserve">      reason: { type: "string" },</w:t>
        <w:br/>
        <w:t xml:space="preserve">      evidenceIds: { type: "array", items: { type: "string" } }</w:t>
        <w:br/>
        <w:t xml:space="preserve">    },</w:t>
        <w:br/>
        <w:t xml:space="preserve">    required: ["caseId", "amount", "reason", "evidenceIds"]</w:t>
        <w:br/>
        <w:t xml:space="preserve">  },</w:t>
        <w:br/>
        <w:t xml:space="preserve">  execute: async (input) =&gt; {</w:t>
        <w:br/>
        <w:t xml:space="preserve">    // validate permission</w:t>
        <w:br/>
        <w:t xml:space="preserve">    // validate case state</w:t>
        <w:br/>
        <w:t xml:space="preserve">    // perform provider-side state transition</w:t>
        <w:br/>
        <w:t xml:space="preserve">    // return deterministic confirmation</w:t>
        <w:br/>
        <w:t xml:space="preserve">  }</w:t>
        <w:br/>
        <w:t>});</w:t>
      </w:r>
    </w:p>
    <w:p>
      <w:r>
        <w:rPr>
          <w:b w:val="0"/>
        </w:rPr>
        <w:t>Recommended core tool graph:</w:t>
      </w:r>
    </w:p>
    <w:p>
      <w:pPr>
        <w:ind w:left="360"/>
      </w:pPr>
      <w:r>
        <w:rPr>
          <w:rFonts w:ascii="Consolas" w:hAnsi="Consolas"/>
          <w:sz w:val="17"/>
        </w:rPr>
        <w:t>get_transaction</w:t>
        <w:br/>
        <w:t xml:space="preserve">   ↓</w:t>
        <w:br/>
        <w:t>get_policy</w:t>
        <w:br/>
        <w:t xml:space="preserve">   ↓</w:t>
        <w:br/>
        <w:t>check_dispute_eligibility</w:t>
        <w:br/>
        <w:t xml:space="preserve">   ↓</w:t>
        <w:br/>
        <w:t>calculate_recoverable_amount</w:t>
        <w:br/>
        <w:t xml:space="preserve">   ↓</w:t>
        <w:br/>
        <w:t>create_evidence_package</w:t>
        <w:br/>
        <w:t xml:space="preserve">   ↓</w:t>
        <w:br/>
        <w:t>submit_dispute</w:t>
        <w:br/>
        <w:t xml:space="preserve">   ↓</w:t>
        <w:br/>
        <w:t>get_dispute_status</w:t>
        <w:br/>
        <w:t xml:space="preserve">   ↓</w:t>
        <w:br/>
        <w:t>request_follow_up</w:t>
      </w:r>
    </w:p>
    <w:p>
      <w:pPr>
        <w:pStyle w:val="Heading1"/>
      </w:pPr>
      <w:r>
        <w:t>13. AI system</w:t>
      </w:r>
    </w:p>
    <w:p>
      <w:r>
        <w:rPr>
          <w:b w:val="0"/>
        </w:rPr>
        <w:t>Use AI where ambiguity exists; use deterministic software where correctness matters.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Component</w:t>
            </w:r>
          </w:p>
        </w:tc>
        <w:tc>
          <w:tcPr>
            <w:tcW w:type="dxa" w:w="3408"/>
          </w:tcPr>
          <w:p>
            <w:r>
              <w:rPr>
                <w:b/>
              </w:rPr>
              <w:t>AI role</w:t>
            </w:r>
          </w:p>
        </w:tc>
        <w:tc>
          <w:tcPr>
            <w:tcW w:type="dxa" w:w="3408"/>
          </w:tcPr>
          <w:p>
            <w:r>
              <w:rPr>
                <w:b/>
              </w:rPr>
              <w:t>Deterministic guardrail</w:t>
            </w:r>
          </w:p>
        </w:tc>
      </w:tr>
      <w:tr>
        <w:tc>
          <w:tcPr>
            <w:tcW w:type="dxa" w:w="3408"/>
            <w:vAlign w:val="center"/>
          </w:tcPr>
          <w:p>
            <w:r>
              <w:t>Document understanding</w:t>
            </w:r>
          </w:p>
        </w:tc>
        <w:tc>
          <w:tcPr>
            <w:tcW w:type="dxa" w:w="3408"/>
            <w:vAlign w:val="center"/>
          </w:tcPr>
          <w:p>
            <w:r>
              <w:t>Extract entities, events, claims</w:t>
            </w:r>
          </w:p>
        </w:tc>
        <w:tc>
          <w:tcPr>
            <w:tcW w:type="dxa" w:w="3408"/>
            <w:vAlign w:val="center"/>
          </w:tcPr>
          <w:p>
            <w:r>
              <w:t>Schema validation + provenance</w:t>
            </w:r>
          </w:p>
        </w:tc>
      </w:tr>
      <w:tr>
        <w:tc>
          <w:tcPr>
            <w:tcW w:type="dxa" w:w="3408"/>
            <w:vAlign w:val="center"/>
          </w:tcPr>
          <w:p>
            <w:r>
              <w:t>Case reconstruction</w:t>
            </w:r>
          </w:p>
        </w:tc>
        <w:tc>
          <w:tcPr>
            <w:tcW w:type="dxa" w:w="3408"/>
            <w:vAlign w:val="center"/>
          </w:tcPr>
          <w:p>
            <w:r>
              <w:t>Normalize messy events</w:t>
            </w:r>
          </w:p>
        </w:tc>
        <w:tc>
          <w:tcPr>
            <w:tcW w:type="dxa" w:w="3408"/>
            <w:vAlign w:val="center"/>
          </w:tcPr>
          <w:p>
            <w:r>
              <w:t>Event consistency checks</w:t>
            </w:r>
          </w:p>
        </w:tc>
      </w:tr>
      <w:tr>
        <w:tc>
          <w:tcPr>
            <w:tcW w:type="dxa" w:w="3408"/>
            <w:vAlign w:val="center"/>
          </w:tcPr>
          <w:p>
            <w:r>
              <w:t>Policy interpretation</w:t>
            </w:r>
          </w:p>
        </w:tc>
        <w:tc>
          <w:tcPr>
            <w:tcW w:type="dxa" w:w="3408"/>
            <w:vAlign w:val="center"/>
          </w:tcPr>
          <w:p>
            <w:r>
              <w:t>Map facts to relevant provisions</w:t>
            </w:r>
          </w:p>
        </w:tc>
        <w:tc>
          <w:tcPr>
            <w:tcW w:type="dxa" w:w="3408"/>
            <w:vAlign w:val="center"/>
          </w:tcPr>
          <w:p>
            <w:r>
              <w:t>Explicit rule engine for critical conditions</w:t>
            </w:r>
          </w:p>
        </w:tc>
      </w:tr>
      <w:tr>
        <w:tc>
          <w:tcPr>
            <w:tcW w:type="dxa" w:w="3408"/>
            <w:vAlign w:val="center"/>
          </w:tcPr>
          <w:p>
            <w:r>
              <w:t>Strategy generation</w:t>
            </w:r>
          </w:p>
        </w:tc>
        <w:tc>
          <w:tcPr>
            <w:tcW w:type="dxa" w:w="3408"/>
            <w:vAlign w:val="center"/>
          </w:tcPr>
          <w:p>
            <w:r>
              <w:t>Compare resolution paths</w:t>
            </w:r>
          </w:p>
        </w:tc>
        <w:tc>
          <w:tcPr>
            <w:tcW w:type="dxa" w:w="3408"/>
            <w:vAlign w:val="center"/>
          </w:tcPr>
          <w:p>
            <w:r>
              <w:t>Allowed-action constraints</w:t>
            </w:r>
          </w:p>
        </w:tc>
      </w:tr>
      <w:tr>
        <w:tc>
          <w:tcPr>
            <w:tcW w:type="dxa" w:w="3408"/>
            <w:vAlign w:val="center"/>
          </w:tcPr>
          <w:p>
            <w:r>
              <w:t>Claim drafting</w:t>
            </w:r>
          </w:p>
        </w:tc>
        <w:tc>
          <w:tcPr>
            <w:tcW w:type="dxa" w:w="3408"/>
            <w:vAlign w:val="center"/>
          </w:tcPr>
          <w:p>
            <w:r>
              <w:t>Generate clear user-approved text</w:t>
            </w:r>
          </w:p>
        </w:tc>
        <w:tc>
          <w:tcPr>
            <w:tcW w:type="dxa" w:w="3408"/>
            <w:vAlign w:val="center"/>
          </w:tcPr>
          <w:p>
            <w:r>
              <w:t>Fact-only validation</w:t>
            </w:r>
          </w:p>
        </w:tc>
      </w:tr>
      <w:tr>
        <w:tc>
          <w:tcPr>
            <w:tcW w:type="dxa" w:w="3408"/>
            <w:vAlign w:val="center"/>
          </w:tcPr>
          <w:p>
            <w:r>
              <w:t>Tool planning</w:t>
            </w:r>
          </w:p>
        </w:tc>
        <w:tc>
          <w:tcPr>
            <w:tcW w:type="dxa" w:w="3408"/>
            <w:vAlign w:val="center"/>
          </w:tcPr>
          <w:p>
            <w:r>
              <w:t>Select capabilities and sequence</w:t>
            </w:r>
          </w:p>
        </w:tc>
        <w:tc>
          <w:tcPr>
            <w:tcW w:type="dxa" w:w="3408"/>
            <w:vAlign w:val="center"/>
          </w:tcPr>
          <w:p>
            <w:r>
              <w:t>Typed tool schemas + permission checks</w:t>
            </w:r>
          </w:p>
        </w:tc>
      </w:tr>
      <w:tr>
        <w:tc>
          <w:tcPr>
            <w:tcW w:type="dxa" w:w="3408"/>
            <w:vAlign w:val="center"/>
          </w:tcPr>
          <w:p>
            <w:r>
              <w:t>Monitoring</w:t>
            </w:r>
          </w:p>
        </w:tc>
        <w:tc>
          <w:tcPr>
            <w:tcW w:type="dxa" w:w="3408"/>
            <w:vAlign w:val="center"/>
          </w:tcPr>
          <w:p>
            <w:r>
              <w:t>Interpret provider updates</w:t>
            </w:r>
          </w:p>
        </w:tc>
        <w:tc>
          <w:tcPr>
            <w:tcW w:type="dxa" w:w="3408"/>
            <w:vAlign w:val="center"/>
          </w:tcPr>
          <w:p>
            <w:r>
              <w:t>State machine</w:t>
            </w:r>
          </w:p>
        </w:tc>
      </w:tr>
    </w:tbl>
    <w:p>
      <w:r>
        <w:rPr>
          <w:b w:val="0"/>
        </w:rPr>
        <w:t>Never expose hidden chain-of-thought. Show concise, auditable reasons, evidence, rules checked, and tool events instead.</w:t>
      </w:r>
    </w:p>
    <w:p>
      <w:pPr>
        <w:pStyle w:val="Heading1"/>
      </w:pPr>
      <w:r>
        <w:t>14. Agent orchestration</w:t>
      </w:r>
    </w:p>
    <w:p>
      <w:pPr>
        <w:ind w:left="360"/>
      </w:pPr>
      <w:r>
        <w:rPr>
          <w:rFonts w:ascii="Consolas" w:hAnsi="Consolas"/>
          <w:sz w:val="17"/>
        </w:rPr>
        <w:t>INTENT</w:t>
        <w:br/>
        <w:t xml:space="preserve">  ↓</w:t>
        <w:br/>
        <w:t>CASE STATE</w:t>
        <w:br/>
        <w:t xml:space="preserve">  ↓</w:t>
        <w:br/>
        <w:t>INVESTIGATION PLAN</w:t>
        <w:br/>
        <w:t xml:space="preserve">  ↓</w:t>
        <w:br/>
        <w:t>TOOL DISCOVERY</w:t>
        <w:br/>
        <w:t xml:space="preserve">  ↓</w:t>
        <w:br/>
        <w:t>EVIDENCE / POLICY</w:t>
        <w:br/>
        <w:t xml:space="preserve">  ↓</w:t>
        <w:br/>
        <w:t>ELIGIBILITY</w:t>
        <w:br/>
        <w:t xml:space="preserve">  ↓</w:t>
        <w:br/>
        <w:t>STRATEGY</w:t>
        <w:br/>
        <w:t xml:space="preserve">  ↓</w:t>
        <w:br/>
        <w:t>ACTION PLAN</w:t>
        <w:br/>
        <w:t xml:space="preserve">  ↓</w:t>
        <w:br/>
        <w:t>PERMISSION CHECK</w:t>
        <w:br/>
        <w:t xml:space="preserve">  ↓</w:t>
        <w:br/>
        <w:t>EXECUTE</w:t>
        <w:br/>
        <w:t xml:space="preserve">  ↓</w:t>
        <w:br/>
        <w:t>VERIFY RESULT</w:t>
        <w:br/>
        <w:t xml:space="preserve">  ↓</w:t>
        <w:br/>
        <w:t>UPDATE CASE STATE</w:t>
        <w:br/>
        <w:t xml:space="preserve">  ↓</w:t>
        <w:br/>
        <w:t>MONITOR / FOLLOW UP</w:t>
      </w:r>
    </w:p>
    <w:p>
      <w:r>
        <w:rPr>
          <w:b w:val="0"/>
        </w:rPr>
        <w:t>Do not build a swarm of agents. One orchestrator with specialized deterministic modules is easier to debug and more reliable.</w:t>
      </w:r>
    </w:p>
    <w:p>
      <w:pPr>
        <w:pStyle w:val="Heading1"/>
      </w:pPr>
      <w:r>
        <w:t>15. Backend architecture</w:t>
      </w:r>
    </w:p>
    <w:p>
      <w:pPr>
        <w:ind w:left="360"/>
      </w:pPr>
      <w:r>
        <w:rPr>
          <w:rFonts w:ascii="Consolas" w:hAnsi="Consolas"/>
          <w:sz w:val="17"/>
        </w:rPr>
        <w:t>Next.js / React</w:t>
        <w:br/>
        <w:t xml:space="preserve">      │</w:t>
        <w:br/>
        <w:t xml:space="preserve">      ├── Server API</w:t>
        <w:br/>
        <w:t xml:space="preserve">      │</w:t>
        <w:br/>
        <w:t xml:space="preserve">      ├── Auth</w:t>
        <w:br/>
        <w:t xml:space="preserve">      │</w:t>
        <w:br/>
        <w:t xml:space="preserve">      ├── Case Service</w:t>
        <w:br/>
        <w:t xml:space="preserve">      │      ├── Evidence Service</w:t>
        <w:br/>
        <w:t xml:space="preserve">      │      ├── Policy Service</w:t>
        <w:br/>
        <w:t xml:space="preserve">      │      ├── Eligibility Engine</w:t>
        <w:br/>
        <w:t xml:space="preserve">      │      ├── Strategy Engine</w:t>
        <w:br/>
        <w:t xml:space="preserve">      │      └── Permission Engine</w:t>
        <w:br/>
        <w:t xml:space="preserve">      │</w:t>
        <w:br/>
        <w:t xml:space="preserve">      ├── Agent Orchestrator</w:t>
        <w:br/>
        <w:t xml:space="preserve">      │      └── WebMCP Adapter</w:t>
        <w:br/>
        <w:t xml:space="preserve">      │</w:t>
        <w:br/>
        <w:t xml:space="preserve">      └── Event / Job Worker</w:t>
        <w:br/>
        <w:t xml:space="preserve">             ├── Monitoring</w:t>
        <w:br/>
        <w:t xml:space="preserve">             └── Follow-up</w:t>
      </w:r>
    </w:p>
    <w:p>
      <w:r>
        <w:rPr>
          <w:b w:val="0"/>
        </w:rPr>
        <w:t>Use a modular monolith first. Split services only when scale or deployment boundaries actually require it.</w:t>
      </w:r>
    </w:p>
    <w:p>
      <w:pPr>
        <w:pStyle w:val="Heading1"/>
      </w:pPr>
      <w:r>
        <w:t>16. Data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Important fields</w:t>
            </w:r>
          </w:p>
        </w:tc>
      </w:tr>
      <w:tr>
        <w:tc>
          <w:tcPr>
            <w:tcW w:type="dxa" w:w="5112"/>
            <w:vAlign w:val="center"/>
          </w:tcPr>
          <w:p>
            <w:r>
              <w:t>users</w:t>
            </w:r>
          </w:p>
        </w:tc>
        <w:tc>
          <w:tcPr>
            <w:tcW w:type="dxa" w:w="5112"/>
            <w:vAlign w:val="center"/>
          </w:tcPr>
          <w:p>
            <w:r>
              <w:t>id, profile, consent, autonomy_policy</w:t>
            </w:r>
          </w:p>
        </w:tc>
      </w:tr>
      <w:tr>
        <w:tc>
          <w:tcPr>
            <w:tcW w:type="dxa" w:w="5112"/>
            <w:vAlign w:val="center"/>
          </w:tcPr>
          <w:p>
            <w:r>
              <w:t>cases</w:t>
            </w:r>
          </w:p>
        </w:tc>
        <w:tc>
          <w:tcPr>
            <w:tcW w:type="dxa" w:w="5112"/>
            <w:vAlign w:val="center"/>
          </w:tcPr>
          <w:p>
            <w:r>
              <w:t>id, user_id, provider, type, amount, status, confidence</w:t>
            </w:r>
          </w:p>
        </w:tc>
      </w:tr>
      <w:tr>
        <w:tc>
          <w:tcPr>
            <w:tcW w:type="dxa" w:w="5112"/>
            <w:vAlign w:val="center"/>
          </w:tcPr>
          <w:p>
            <w:r>
              <w:t>documents</w:t>
            </w:r>
          </w:p>
        </w:tc>
        <w:tc>
          <w:tcPr>
            <w:tcW w:type="dxa" w:w="5112"/>
            <w:vAlign w:val="center"/>
          </w:tcPr>
          <w:p>
            <w:r>
              <w:t>id, case_id, source, uri, hash, created_at</w:t>
            </w:r>
          </w:p>
        </w:tc>
      </w:tr>
      <w:tr>
        <w:tc>
          <w:tcPr>
            <w:tcW w:type="dxa" w:w="5112"/>
            <w:vAlign w:val="center"/>
          </w:tcPr>
          <w:p>
            <w:r>
              <w:t>evidence</w:t>
            </w:r>
          </w:p>
        </w:tc>
        <w:tc>
          <w:tcPr>
            <w:tcW w:type="dxa" w:w="5112"/>
            <w:vAlign w:val="center"/>
          </w:tcPr>
          <w:p>
            <w:r>
              <w:t>id, case_id, document_id, fact, provenance, confidence</w:t>
            </w:r>
          </w:p>
        </w:tc>
      </w:tr>
      <w:tr>
        <w:tc>
          <w:tcPr>
            <w:tcW w:type="dxa" w:w="5112"/>
            <w:vAlign w:val="center"/>
          </w:tcPr>
          <w:p>
            <w:r>
              <w:t>events</w:t>
            </w:r>
          </w:p>
        </w:tc>
        <w:tc>
          <w:tcPr>
            <w:tcW w:type="dxa" w:w="5112"/>
            <w:vAlign w:val="center"/>
          </w:tcPr>
          <w:p>
            <w:r>
              <w:t>id, case_id, timestamp, type, source, verified</w:t>
            </w:r>
          </w:p>
        </w:tc>
      </w:tr>
      <w:tr>
        <w:tc>
          <w:tcPr>
            <w:tcW w:type="dxa" w:w="5112"/>
            <w:vAlign w:val="center"/>
          </w:tcPr>
          <w:p>
            <w:r>
              <w:t>policies</w:t>
            </w:r>
          </w:p>
        </w:tc>
        <w:tc>
          <w:tcPr>
            <w:tcW w:type="dxa" w:w="5112"/>
            <w:vAlign w:val="center"/>
          </w:tcPr>
          <w:p>
            <w:r>
              <w:t>id, provider, version, effective_from, source</w:t>
            </w:r>
          </w:p>
        </w:tc>
      </w:tr>
      <w:tr>
        <w:tc>
          <w:tcPr>
            <w:tcW w:type="dxa" w:w="5112"/>
            <w:vAlign w:val="center"/>
          </w:tcPr>
          <w:p>
            <w:r>
              <w:t>claims</w:t>
            </w:r>
          </w:p>
        </w:tc>
        <w:tc>
          <w:tcPr>
            <w:tcW w:type="dxa" w:w="5112"/>
            <w:vAlign w:val="center"/>
          </w:tcPr>
          <w:p>
            <w:r>
              <w:t>id, case_id, requested_amount, reason, status</w:t>
            </w:r>
          </w:p>
        </w:tc>
      </w:tr>
      <w:tr>
        <w:tc>
          <w:tcPr>
            <w:tcW w:type="dxa" w:w="5112"/>
            <w:vAlign w:val="center"/>
          </w:tcPr>
          <w:p>
            <w:r>
              <w:t>agent_actions</w:t>
            </w:r>
          </w:p>
        </w:tc>
        <w:tc>
          <w:tcPr>
            <w:tcW w:type="dxa" w:w="5112"/>
            <w:vAlign w:val="center"/>
          </w:tcPr>
          <w:p>
            <w:r>
              <w:t>id, case_id, tool, inputs_hash, status, result, timestamp</w:t>
            </w:r>
          </w:p>
        </w:tc>
      </w:tr>
      <w:tr>
        <w:tc>
          <w:tcPr>
            <w:tcW w:type="dxa" w:w="5112"/>
            <w:vAlign w:val="center"/>
          </w:tcPr>
          <w:p>
            <w:r>
              <w:t>permissions</w:t>
            </w:r>
          </w:p>
        </w:tc>
        <w:tc>
          <w:tcPr>
            <w:tcW w:type="dxa" w:w="5112"/>
            <w:vAlign w:val="center"/>
          </w:tcPr>
          <w:p>
            <w:r>
              <w:t>id, user_id, action, threshold, rule</w:t>
            </w:r>
          </w:p>
        </w:tc>
      </w:tr>
      <w:tr>
        <w:tc>
          <w:tcPr>
            <w:tcW w:type="dxa" w:w="5112"/>
            <w:vAlign w:val="center"/>
          </w:tcPr>
          <w:p>
            <w:r>
              <w:t>provider_tools</w:t>
            </w:r>
          </w:p>
        </w:tc>
        <w:tc>
          <w:tcPr>
            <w:tcW w:type="dxa" w:w="5112"/>
            <w:vAlign w:val="center"/>
          </w:tcPr>
          <w:p>
            <w:r>
              <w:t>provider, tool_name, schema, version</w:t>
            </w:r>
          </w:p>
        </w:tc>
      </w:tr>
      <w:tr>
        <w:tc>
          <w:tcPr>
            <w:tcW w:type="dxa" w:w="5112"/>
            <w:vAlign w:val="center"/>
          </w:tcPr>
          <w:p>
            <w:r>
              <w:t>resolutions</w:t>
            </w:r>
          </w:p>
        </w:tc>
        <w:tc>
          <w:tcPr>
            <w:tcW w:type="dxa" w:w="5112"/>
            <w:vAlign w:val="center"/>
          </w:tcPr>
          <w:p>
            <w:r>
              <w:t>case_id, outcome, recovered_amount, resolved_at</w:t>
            </w:r>
          </w:p>
        </w:tc>
      </w:tr>
    </w:tbl>
    <w:p>
      <w:pPr>
        <w:pStyle w:val="Heading1"/>
      </w:pPr>
      <w:r>
        <w:t>17. Trust, security, and safety</w:t>
      </w:r>
    </w:p>
    <w:p>
      <w:pPr>
        <w:pStyle w:val="ListBullet"/>
      </w:pPr>
      <w:r>
        <w:t>Explicit consent for each connected data source.</w:t>
      </w:r>
    </w:p>
    <w:p>
      <w:pPr>
        <w:pStyle w:val="ListBullet"/>
      </w:pPr>
      <w:r>
        <w:t>Encrypt sensitive data at rest and in transit.</w:t>
      </w:r>
    </w:p>
    <w:p>
      <w:pPr>
        <w:pStyle w:val="ListBullet"/>
      </w:pPr>
      <w:r>
        <w:t>Never store provider credentials in the case record.</w:t>
      </w:r>
    </w:p>
    <w:p>
      <w:pPr>
        <w:pStyle w:val="ListBullet"/>
      </w:pPr>
      <w:r>
        <w:t>Use scoped tokens/authorization where real integrations exist.</w:t>
      </w:r>
    </w:p>
    <w:p>
      <w:pPr>
        <w:pStyle w:val="ListBullet"/>
      </w:pPr>
      <w:r>
        <w:t>Permission check immediately before consequential tool execution.</w:t>
      </w:r>
    </w:p>
    <w:p>
      <w:pPr>
        <w:pStyle w:val="ListBullet"/>
      </w:pPr>
      <w:r>
        <w:t>Idempotency keys for submit/cancel/refund actions.</w:t>
      </w:r>
    </w:p>
    <w:p>
      <w:pPr>
        <w:pStyle w:val="ListBullet"/>
      </w:pPr>
      <w:r>
        <w:t>Audit every action and state transition.</w:t>
      </w:r>
    </w:p>
    <w:p>
      <w:pPr>
        <w:pStyle w:val="ListBullet"/>
      </w:pPr>
      <w:r>
        <w:t>Separate user-visible conclusions from raw model output.</w:t>
      </w:r>
    </w:p>
    <w:p>
      <w:pPr>
        <w:pStyle w:val="ListBullet"/>
      </w:pPr>
      <w:r>
        <w:t>Require human approval for high-impact actions by default.</w:t>
      </w:r>
    </w:p>
    <w:p>
      <w:pPr>
        <w:pStyle w:val="ListBullet"/>
      </w:pPr>
      <w:r>
        <w:t>Provide a kill switch to pause agent execution.</w:t>
      </w:r>
    </w:p>
    <w:p>
      <w:pPr>
        <w:pStyle w:val="ListBullet"/>
      </w:pPr>
      <w:r>
        <w:t>Rate-limit and retry safely; never duplicate a financial action.</w:t>
      </w:r>
    </w:p>
    <w:p>
      <w:pPr>
        <w:pStyle w:val="ListBullet"/>
      </w:pPr>
      <w:r>
        <w:t>Clearly label simulated providers in the hackathon environment.</w:t>
      </w:r>
    </w:p>
    <w:p>
      <w:pPr>
        <w:pStyle w:val="Heading1"/>
      </w:pPr>
      <w:r>
        <w:t>18. Reliability engineering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Failure</w:t>
            </w:r>
          </w:p>
        </w:tc>
        <w:tc>
          <w:tcPr>
            <w:tcW w:type="dxa" w:w="5112"/>
          </w:tcPr>
          <w:p>
            <w:r>
              <w:rPr>
                <w:b/>
              </w:rPr>
              <w:t>Behavior</w:t>
            </w:r>
          </w:p>
        </w:tc>
      </w:tr>
      <w:tr>
        <w:tc>
          <w:tcPr>
            <w:tcW w:type="dxa" w:w="5112"/>
            <w:vAlign w:val="center"/>
          </w:tcPr>
          <w:p>
            <w:r>
              <w:t>Model timeout</w:t>
            </w:r>
          </w:p>
        </w:tc>
        <w:tc>
          <w:tcPr>
            <w:tcW w:type="dxa" w:w="5112"/>
            <w:vAlign w:val="center"/>
          </w:tcPr>
          <w:p>
            <w:r>
              <w:t>Retry once, then fall back to a simpler extraction path.</w:t>
            </w:r>
          </w:p>
        </w:tc>
      </w:tr>
      <w:tr>
        <w:tc>
          <w:tcPr>
            <w:tcW w:type="dxa" w:w="5112"/>
            <w:vAlign w:val="center"/>
          </w:tcPr>
          <w:p>
            <w:r>
              <w:t>Malformed model output</w:t>
            </w:r>
          </w:p>
        </w:tc>
        <w:tc>
          <w:tcPr>
            <w:tcW w:type="dxa" w:w="5112"/>
            <w:vAlign w:val="center"/>
          </w:tcPr>
          <w:p>
            <w:r>
              <w:t>Reject against schema; regenerate.</w:t>
            </w:r>
          </w:p>
        </w:tc>
      </w:tr>
      <w:tr>
        <w:tc>
          <w:tcPr>
            <w:tcW w:type="dxa" w:w="5112"/>
            <w:vAlign w:val="center"/>
          </w:tcPr>
          <w:p>
            <w:r>
              <w:t>Tool timeout</w:t>
            </w:r>
          </w:p>
        </w:tc>
        <w:tc>
          <w:tcPr>
            <w:tcW w:type="dxa" w:w="5112"/>
            <w:vAlign w:val="center"/>
          </w:tcPr>
          <w:p>
            <w:r>
              <w:t>Mark pending; retry with idempotency key.</w:t>
            </w:r>
          </w:p>
        </w:tc>
      </w:tr>
      <w:tr>
        <w:tc>
          <w:tcPr>
            <w:tcW w:type="dxa" w:w="5112"/>
            <w:vAlign w:val="center"/>
          </w:tcPr>
          <w:p>
            <w:r>
              <w:t>Tool failure</w:t>
            </w:r>
          </w:p>
        </w:tc>
        <w:tc>
          <w:tcPr>
            <w:tcW w:type="dxa" w:w="5112"/>
            <w:vAlign w:val="center"/>
          </w:tcPr>
          <w:p>
            <w:r>
              <w:t>Do not repeat blindly; show recoverable error.</w:t>
            </w:r>
          </w:p>
        </w:tc>
      </w:tr>
      <w:tr>
        <w:tc>
          <w:tcPr>
            <w:tcW w:type="dxa" w:w="5112"/>
            <w:vAlign w:val="center"/>
          </w:tcPr>
          <w:p>
            <w:r>
              <w:t>Provider state changed</w:t>
            </w:r>
          </w:p>
        </w:tc>
        <w:tc>
          <w:tcPr>
            <w:tcW w:type="dxa" w:w="5112"/>
            <w:vAlign w:val="center"/>
          </w:tcPr>
          <w:p>
            <w:r>
              <w:t>Re-read state before executing next action.</w:t>
            </w:r>
          </w:p>
        </w:tc>
      </w:tr>
      <w:tr>
        <w:tc>
          <w:tcPr>
            <w:tcW w:type="dxa" w:w="5112"/>
            <w:vAlign w:val="center"/>
          </w:tcPr>
          <w:p>
            <w:r>
              <w:t>Duplicate submission risk</w:t>
            </w:r>
          </w:p>
        </w:tc>
        <w:tc>
          <w:tcPr>
            <w:tcW w:type="dxa" w:w="5112"/>
            <w:vAlign w:val="center"/>
          </w:tcPr>
          <w:p>
            <w:r>
              <w:t>Idempotency key + provider-side dedupe.</w:t>
            </w:r>
          </w:p>
        </w:tc>
      </w:tr>
      <w:tr>
        <w:tc>
          <w:tcPr>
            <w:tcW w:type="dxa" w:w="5112"/>
            <w:vAlign w:val="center"/>
          </w:tcPr>
          <w:p>
            <w:r>
              <w:t>Missing evidence</w:t>
            </w:r>
          </w:p>
        </w:tc>
        <w:tc>
          <w:tcPr>
            <w:tcW w:type="dxa" w:w="5112"/>
            <w:vAlign w:val="center"/>
          </w:tcPr>
          <w:p>
            <w:r>
              <w:t>Pause case and request exact missing item.</w:t>
            </w:r>
          </w:p>
        </w:tc>
      </w:tr>
      <w:tr>
        <w:tc>
          <w:tcPr>
            <w:tcW w:type="dxa" w:w="5112"/>
            <w:vAlign w:val="center"/>
          </w:tcPr>
          <w:p>
            <w:r>
              <w:t>Contradictory evidence</w:t>
            </w:r>
          </w:p>
        </w:tc>
        <w:tc>
          <w:tcPr>
            <w:tcW w:type="dxa" w:w="5112"/>
            <w:vAlign w:val="center"/>
          </w:tcPr>
          <w:p>
            <w:r>
              <w:t>Set status to needs review; never invent resolution.</w:t>
            </w:r>
          </w:p>
        </w:tc>
      </w:tr>
      <w:tr>
        <w:tc>
          <w:tcPr>
            <w:tcW w:type="dxa" w:w="5112"/>
            <w:vAlign w:val="center"/>
          </w:tcPr>
          <w:p>
            <w:r>
              <w:t>Network outage</w:t>
            </w:r>
          </w:p>
        </w:tc>
        <w:tc>
          <w:tcPr>
            <w:tcW w:type="dxa" w:w="5112"/>
            <w:vAlign w:val="center"/>
          </w:tcPr>
          <w:p>
            <w:r>
              <w:t>Persist workflow state and resume later.</w:t>
            </w:r>
          </w:p>
        </w:tc>
      </w:tr>
      <w:tr>
        <w:tc>
          <w:tcPr>
            <w:tcW w:type="dxa" w:w="5112"/>
            <w:vAlign w:val="center"/>
          </w:tcPr>
          <w:p>
            <w:r>
              <w:t>Demo provider unavailable</w:t>
            </w:r>
          </w:p>
        </w:tc>
        <w:tc>
          <w:tcPr>
            <w:tcW w:type="dxa" w:w="5112"/>
            <w:vAlign w:val="center"/>
          </w:tcPr>
          <w:p>
            <w:r>
              <w:t>Switch to deterministic local provider mode and clearly indicate simulation.</w:t>
            </w:r>
          </w:p>
        </w:tc>
      </w:tr>
    </w:tbl>
    <w:p>
      <w:pPr>
        <w:pStyle w:val="Heading1"/>
      </w:pPr>
      <w:r>
        <w:t>19. Product tiers</w:t>
      </w:r>
    </w:p>
    <w:p>
      <w:r>
        <w:rPr>
          <w:b w:val="0"/>
        </w:rPr>
        <w:t>MINIMUM REAL PRODUCT</w:t>
      </w:r>
    </w:p>
    <w:p>
      <w:pPr>
        <w:pStyle w:val="ListBullet"/>
      </w:pPr>
      <w:r>
        <w:t>Command center</w:t>
      </w:r>
    </w:p>
    <w:p>
      <w:pPr>
        <w:pStyle w:val="ListBullet"/>
      </w:pPr>
      <w:r>
        <w:t>Upload evidence</w:t>
      </w:r>
    </w:p>
    <w:p>
      <w:pPr>
        <w:pStyle w:val="ListBullet"/>
      </w:pPr>
      <w:r>
        <w:t>One complete case lifecycle</w:t>
      </w:r>
    </w:p>
    <w:p>
      <w:pPr>
        <w:pStyle w:val="ListBullet"/>
      </w:pPr>
      <w:r>
        <w:t>Structured case reconstruction</w:t>
      </w:r>
    </w:p>
    <w:p>
      <w:pPr>
        <w:pStyle w:val="ListBullet"/>
      </w:pPr>
      <w:r>
        <w:t>Policy/evidence view</w:t>
      </w:r>
    </w:p>
    <w:p>
      <w:pPr>
        <w:pStyle w:val="ListBullet"/>
      </w:pPr>
      <w:r>
        <w:t>Permission center</w:t>
      </w:r>
    </w:p>
    <w:p>
      <w:pPr>
        <w:pStyle w:val="ListBullet"/>
      </w:pPr>
      <w:r>
        <w:t>One provider with 7+ real WebMCP tools</w:t>
      </w:r>
    </w:p>
    <w:p>
      <w:pPr>
        <w:pStyle w:val="ListBullet"/>
      </w:pPr>
      <w:r>
        <w:t>Human-approved submission</w:t>
      </w:r>
    </w:p>
    <w:p>
      <w:pPr>
        <w:pStyle w:val="ListBullet"/>
      </w:pPr>
      <w:r>
        <w:t>Audit trail</w:t>
      </w:r>
    </w:p>
    <w:p>
      <w:pPr>
        <w:pStyle w:val="ListBullet"/>
      </w:pPr>
      <w:r>
        <w:t>Case status</w:t>
      </w:r>
    </w:p>
    <w:p>
      <w:r>
        <w:rPr>
          <w:b w:val="0"/>
        </w:rPr>
        <w:t>STRONG PRODUCT</w:t>
      </w:r>
    </w:p>
    <w:p>
      <w:pPr>
        <w:pStyle w:val="ListBullet"/>
      </w:pPr>
      <w:r>
        <w:t>Three providers</w:t>
      </w:r>
    </w:p>
    <w:p>
      <w:pPr>
        <w:pStyle w:val="ListBullet"/>
      </w:pPr>
      <w:r>
        <w:t>Six core case categories</w:t>
      </w:r>
    </w:p>
    <w:p>
      <w:pPr>
        <w:pStyle w:val="ListBullet"/>
      </w:pPr>
      <w:r>
        <w:t>Proactive findings</w:t>
      </w:r>
    </w:p>
    <w:p>
      <w:pPr>
        <w:pStyle w:val="ListBullet"/>
      </w:pPr>
      <w:r>
        <w:t>Monitoring and follow-up</w:t>
      </w:r>
    </w:p>
    <w:p>
      <w:pPr>
        <w:pStyle w:val="ListBullet"/>
      </w:pPr>
      <w:r>
        <w:t>Agent console</w:t>
      </w:r>
    </w:p>
    <w:p>
      <w:pPr>
        <w:pStyle w:val="ListBullet"/>
      </w:pPr>
      <w:r>
        <w:t>Autonomy policies</w:t>
      </w:r>
    </w:p>
    <w:p>
      <w:pPr>
        <w:pStyle w:val="ListBullet"/>
      </w:pPr>
      <w:r>
        <w:t>Multiple strategy recommendations</w:t>
      </w:r>
    </w:p>
    <w:p>
      <w:pPr>
        <w:pStyle w:val="ListBullet"/>
      </w:pPr>
      <w:r>
        <w:t>Evidence graph</w:t>
      </w:r>
    </w:p>
    <w:p>
      <w:pPr>
        <w:pStyle w:val="ListBullet"/>
      </w:pPr>
      <w:r>
        <w:t>Failure recovery</w:t>
      </w:r>
    </w:p>
    <w:p>
      <w:pPr>
        <w:pStyle w:val="ListBullet"/>
      </w:pPr>
      <w:r>
        <w:t>Analytics: recovered money/time saved</w:t>
      </w:r>
    </w:p>
    <w:p>
      <w:r>
        <w:rPr>
          <w:b w:val="0"/>
        </w:rPr>
        <w:t>POST-HACKATHON PRODUCT</w:t>
      </w:r>
    </w:p>
    <w:p>
      <w:pPr>
        <w:pStyle w:val="ListBullet"/>
      </w:pPr>
      <w:r>
        <w:t>Real merchant integrations</w:t>
      </w:r>
    </w:p>
    <w:p>
      <w:pPr>
        <w:pStyle w:val="ListBullet"/>
      </w:pPr>
      <w:r>
        <w:t>Email and financial-data connectors</w:t>
      </w:r>
    </w:p>
    <w:p>
      <w:pPr>
        <w:pStyle w:val="ListBullet"/>
      </w:pPr>
      <w:r>
        <w:t>Provider onboarding SDK</w:t>
      </w:r>
    </w:p>
    <w:p>
      <w:pPr>
        <w:pStyle w:val="ListBullet"/>
      </w:pPr>
      <w:r>
        <w:t>Provider capability marketplace</w:t>
      </w:r>
    </w:p>
    <w:p>
      <w:pPr>
        <w:pStyle w:val="ListBullet"/>
      </w:pPr>
      <w:r>
        <w:t>Automated recurring monitoring</w:t>
      </w:r>
    </w:p>
    <w:p>
      <w:pPr>
        <w:pStyle w:val="ListBullet"/>
      </w:pPr>
      <w:r>
        <w:t>Consumer advocacy subscriptions</w:t>
      </w:r>
    </w:p>
    <w:p>
      <w:pPr>
        <w:pStyle w:val="ListBullet"/>
      </w:pPr>
      <w:r>
        <w:t>B2B/white-label infrastructure</w:t>
      </w:r>
    </w:p>
    <w:p>
      <w:pPr>
        <w:pStyle w:val="ListBullet"/>
      </w:pPr>
      <w:r>
        <w:t>Multi-region policy support</w:t>
      </w:r>
    </w:p>
    <w:p>
      <w:pPr>
        <w:pStyle w:val="ListBullet"/>
      </w:pPr>
      <w:r>
        <w:t>Enterprise trust/security controls</w:t>
      </w:r>
    </w:p>
    <w:p>
      <w:pPr>
        <w:pStyle w:val="Heading1"/>
      </w:pPr>
      <w:r>
        <w:t>20. What NOT to build</w:t>
      </w:r>
    </w:p>
    <w:p>
      <w:pPr>
        <w:pStyle w:val="ListBullet"/>
      </w:pPr>
      <w:r>
        <w:t>Generic chatbot as the primary UI</w:t>
      </w:r>
    </w:p>
    <w:p>
      <w:pPr>
        <w:pStyle w:val="ListBullet"/>
      </w:pPr>
      <w:r>
        <w:t>Microservice explosion</w:t>
      </w:r>
    </w:p>
    <w:p>
      <w:pPr>
        <w:pStyle w:val="ListBullet"/>
      </w:pPr>
      <w:r>
        <w:t>Multi-agent swarm</w:t>
      </w:r>
    </w:p>
    <w:p>
      <w:pPr>
        <w:pStyle w:val="ListBullet"/>
      </w:pPr>
      <w:r>
        <w:t>Custom vector database before retrieval needs are proven</w:t>
      </w:r>
    </w:p>
    <w:p>
      <w:pPr>
        <w:pStyle w:val="ListBullet"/>
      </w:pPr>
      <w:r>
        <w:t>Mobile app</w:t>
      </w:r>
    </w:p>
    <w:p>
      <w:pPr>
        <w:pStyle w:val="ListBullet"/>
      </w:pPr>
      <w:r>
        <w:t>Dozens of superficial provider integrations</w:t>
      </w:r>
    </w:p>
    <w:p>
      <w:pPr>
        <w:pStyle w:val="ListBullet"/>
      </w:pPr>
      <w:r>
        <w:t>Autonomous money movement</w:t>
      </w:r>
    </w:p>
    <w:p>
      <w:pPr>
        <w:pStyle w:val="ListBullet"/>
      </w:pPr>
      <w:r>
        <w:t>Legal advice engine</w:t>
      </w:r>
    </w:p>
    <w:p>
      <w:pPr>
        <w:pStyle w:val="ListBullet"/>
      </w:pPr>
      <w:r>
        <w:t>Fake WebMCP calls</w:t>
      </w:r>
    </w:p>
    <w:p>
      <w:pPr>
        <w:pStyle w:val="ListBullet"/>
      </w:pPr>
      <w:r>
        <w:t>Beautiful analytics that do not improve the core workflow</w:t>
      </w:r>
    </w:p>
    <w:p>
      <w:pPr>
        <w:pStyle w:val="Heading1"/>
      </w:pPr>
      <w:r>
        <w:t>21.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Phase</w:t>
            </w:r>
          </w:p>
        </w:tc>
        <w:tc>
          <w:tcPr>
            <w:tcW w:type="dxa" w:w="3408"/>
          </w:tcPr>
          <w:p>
            <w:r>
              <w:rPr>
                <w:b/>
              </w:rPr>
              <w:t>Outcome</w:t>
            </w:r>
          </w:p>
        </w:tc>
        <w:tc>
          <w:tcPr>
            <w:tcW w:type="dxa" w:w="3408"/>
          </w:tcPr>
          <w:p>
            <w:r>
              <w:rPr>
                <w:b/>
              </w:rPr>
              <w:t>Exit criterion</w:t>
            </w:r>
          </w:p>
        </w:tc>
      </w:tr>
      <w:tr>
        <w:tc>
          <w:tcPr>
            <w:tcW w:type="dxa" w:w="3408"/>
            <w:vAlign w:val="center"/>
          </w:tcPr>
          <w:p>
            <w:r>
              <w:t>P0 — Foundation</w:t>
            </w:r>
          </w:p>
        </w:tc>
        <w:tc>
          <w:tcPr>
            <w:tcW w:type="dxa" w:w="3408"/>
            <w:vAlign w:val="center"/>
          </w:tcPr>
          <w:p>
            <w:r>
              <w:t>Repo, CI, design system, DB, auth</w:t>
            </w:r>
          </w:p>
        </w:tc>
        <w:tc>
          <w:tcPr>
            <w:tcW w:type="dxa" w:w="3408"/>
            <w:vAlign w:val="center"/>
          </w:tcPr>
          <w:p>
            <w:r>
              <w:t>Deployable shell + migrations</w:t>
            </w:r>
          </w:p>
        </w:tc>
      </w:tr>
      <w:tr>
        <w:tc>
          <w:tcPr>
            <w:tcW w:type="dxa" w:w="3408"/>
            <w:vAlign w:val="center"/>
          </w:tcPr>
          <w:p>
            <w:r>
              <w:t>P1 — Case engine</w:t>
            </w:r>
          </w:p>
        </w:tc>
        <w:tc>
          <w:tcPr>
            <w:tcW w:type="dxa" w:w="3408"/>
            <w:vAlign w:val="center"/>
          </w:tcPr>
          <w:p>
            <w:r>
              <w:t>Case state machine + evidence</w:t>
            </w:r>
          </w:p>
        </w:tc>
        <w:tc>
          <w:tcPr>
            <w:tcW w:type="dxa" w:w="3408"/>
            <w:vAlign w:val="center"/>
          </w:tcPr>
          <w:p>
            <w:r>
              <w:t>Can create and inspect a case</w:t>
            </w:r>
          </w:p>
        </w:tc>
      </w:tr>
      <w:tr>
        <w:tc>
          <w:tcPr>
            <w:tcW w:type="dxa" w:w="3408"/>
            <w:vAlign w:val="center"/>
          </w:tcPr>
          <w:p>
            <w:r>
              <w:t>P2 — AI</w:t>
            </w:r>
          </w:p>
        </w:tc>
        <w:tc>
          <w:tcPr>
            <w:tcW w:type="dxa" w:w="3408"/>
            <w:vAlign w:val="center"/>
          </w:tcPr>
          <w:p>
            <w:r>
              <w:t>Extraction + reconstruction + eligibility</w:t>
            </w:r>
          </w:p>
        </w:tc>
        <w:tc>
          <w:tcPr>
            <w:tcW w:type="dxa" w:w="3408"/>
            <w:vAlign w:val="center"/>
          </w:tcPr>
          <w:p>
            <w:r>
              <w:t>Messy document becomes structured case</w:t>
            </w:r>
          </w:p>
        </w:tc>
      </w:tr>
      <w:tr>
        <w:tc>
          <w:tcPr>
            <w:tcW w:type="dxa" w:w="3408"/>
            <w:vAlign w:val="center"/>
          </w:tcPr>
          <w:p>
            <w:r>
              <w:t>P3 — Provider</w:t>
            </w:r>
          </w:p>
        </w:tc>
        <w:tc>
          <w:tcPr>
            <w:tcW w:type="dxa" w:w="3408"/>
            <w:vAlign w:val="center"/>
          </w:tcPr>
          <w:p>
            <w:r>
              <w:t>First WebMCP provider</w:t>
            </w:r>
          </w:p>
        </w:tc>
        <w:tc>
          <w:tcPr>
            <w:tcW w:type="dxa" w:w="3408"/>
            <w:vAlign w:val="center"/>
          </w:tcPr>
          <w:p>
            <w:r>
              <w:t>Tools discoverable and state-changing</w:t>
            </w:r>
          </w:p>
        </w:tc>
      </w:tr>
      <w:tr>
        <w:tc>
          <w:tcPr>
            <w:tcW w:type="dxa" w:w="3408"/>
            <w:vAlign w:val="center"/>
          </w:tcPr>
          <w:p>
            <w:r>
              <w:t>P4 — Execution</w:t>
            </w:r>
          </w:p>
        </w:tc>
        <w:tc>
          <w:tcPr>
            <w:tcW w:type="dxa" w:w="3408"/>
            <w:vAlign w:val="center"/>
          </w:tcPr>
          <w:p>
            <w:r>
              <w:t>Permission + submission + verification</w:t>
            </w:r>
          </w:p>
        </w:tc>
        <w:tc>
          <w:tcPr>
            <w:tcW w:type="dxa" w:w="3408"/>
            <w:vAlign w:val="center"/>
          </w:tcPr>
          <w:p>
            <w:r>
              <w:t>End-to-end claim works</w:t>
            </w:r>
          </w:p>
        </w:tc>
      </w:tr>
      <w:tr>
        <w:tc>
          <w:tcPr>
            <w:tcW w:type="dxa" w:w="3408"/>
            <w:vAlign w:val="center"/>
          </w:tcPr>
          <w:p>
            <w:r>
              <w:t>P5 — UX</w:t>
            </w:r>
          </w:p>
        </w:tc>
        <w:tc>
          <w:tcPr>
            <w:tcW w:type="dxa" w:w="3408"/>
            <w:vAlign w:val="center"/>
          </w:tcPr>
          <w:p>
            <w:r>
              <w:t>Command center + case detail + approval</w:t>
            </w:r>
          </w:p>
        </w:tc>
        <w:tc>
          <w:tcPr>
            <w:tcW w:type="dxa" w:w="3408"/>
            <w:vAlign w:val="center"/>
          </w:tcPr>
          <w:p>
            <w:r>
              <w:t>A stranger can complete workflow</w:t>
            </w:r>
          </w:p>
        </w:tc>
      </w:tr>
      <w:tr>
        <w:tc>
          <w:tcPr>
            <w:tcW w:type="dxa" w:w="3408"/>
            <w:vAlign w:val="center"/>
          </w:tcPr>
          <w:p>
            <w:r>
              <w:t>P6 — Multi-provider</w:t>
            </w:r>
          </w:p>
        </w:tc>
        <w:tc>
          <w:tcPr>
            <w:tcW w:type="dxa" w:w="3408"/>
            <w:vAlign w:val="center"/>
          </w:tcPr>
          <w:p>
            <w:r>
              <w:t>Second/third provider</w:t>
            </w:r>
          </w:p>
        </w:tc>
        <w:tc>
          <w:tcPr>
            <w:tcW w:type="dxa" w:w="3408"/>
            <w:vAlign w:val="center"/>
          </w:tcPr>
          <w:p>
            <w:r>
              <w:t>Same orchestrator works across providers</w:t>
            </w:r>
          </w:p>
        </w:tc>
      </w:tr>
      <w:tr>
        <w:tc>
          <w:tcPr>
            <w:tcW w:type="dxa" w:w="3408"/>
            <w:vAlign w:val="center"/>
          </w:tcPr>
          <w:p>
            <w:r>
              <w:t>P7 — Monitoring</w:t>
            </w:r>
          </w:p>
        </w:tc>
        <w:tc>
          <w:tcPr>
            <w:tcW w:type="dxa" w:w="3408"/>
            <w:vAlign w:val="center"/>
          </w:tcPr>
          <w:p>
            <w:r>
              <w:t>Status + follow-up</w:t>
            </w:r>
          </w:p>
        </w:tc>
        <w:tc>
          <w:tcPr>
            <w:tcW w:type="dxa" w:w="3408"/>
            <w:vAlign w:val="center"/>
          </w:tcPr>
          <w:p>
            <w:r>
              <w:t>Case can continue after submission</w:t>
            </w:r>
          </w:p>
        </w:tc>
      </w:tr>
      <w:tr>
        <w:tc>
          <w:tcPr>
            <w:tcW w:type="dxa" w:w="3408"/>
            <w:vAlign w:val="center"/>
          </w:tcPr>
          <w:p>
            <w:r>
              <w:t>P8 — Hardening</w:t>
            </w:r>
          </w:p>
        </w:tc>
        <w:tc>
          <w:tcPr>
            <w:tcW w:type="dxa" w:w="3408"/>
            <w:vAlign w:val="center"/>
          </w:tcPr>
          <w:p>
            <w:r>
              <w:t>Failures, idempotency, observability</w:t>
            </w:r>
          </w:p>
        </w:tc>
        <w:tc>
          <w:tcPr>
            <w:tcW w:type="dxa" w:w="3408"/>
            <w:vAlign w:val="center"/>
          </w:tcPr>
          <w:p>
            <w:r>
              <w:t>Chaos/manual test suite passes</w:t>
            </w:r>
          </w:p>
        </w:tc>
      </w:tr>
      <w:tr>
        <w:tc>
          <w:tcPr>
            <w:tcW w:type="dxa" w:w="3408"/>
            <w:vAlign w:val="center"/>
          </w:tcPr>
          <w:p>
            <w:r>
              <w:t>P9 — Demo</w:t>
            </w:r>
          </w:p>
        </w:tc>
        <w:tc>
          <w:tcPr>
            <w:tcW w:type="dxa" w:w="3408"/>
            <w:vAlign w:val="center"/>
          </w:tcPr>
          <w:p>
            <w:r>
              <w:t>Scripted scenarios + recording</w:t>
            </w:r>
          </w:p>
        </w:tc>
        <w:tc>
          <w:tcPr>
            <w:tcW w:type="dxa" w:w="3408"/>
            <w:vAlign w:val="center"/>
          </w:tcPr>
          <w:p>
            <w:r>
              <w:t>Reliable &lt;3 minute submission video</w:t>
            </w:r>
          </w:p>
        </w:tc>
      </w:tr>
    </w:tbl>
    <w:p>
      <w:pPr>
        <w:pStyle w:val="Heading1"/>
      </w:pPr>
      <w:r>
        <w:t>22. Team parallelization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Track</w:t>
            </w:r>
          </w:p>
        </w:tc>
        <w:tc>
          <w:tcPr>
            <w:tcW w:type="dxa" w:w="5112"/>
          </w:tcPr>
          <w:p>
            <w:r>
              <w:rPr>
                <w:b/>
              </w:rPr>
              <w:t>Own</w:t>
            </w:r>
          </w:p>
        </w:tc>
      </w:tr>
      <w:tr>
        <w:tc>
          <w:tcPr>
            <w:tcW w:type="dxa" w:w="5112"/>
            <w:vAlign w:val="center"/>
          </w:tcPr>
          <w:p>
            <w:r>
              <w:t>Product/UX</w:t>
            </w:r>
          </w:p>
        </w:tc>
        <w:tc>
          <w:tcPr>
            <w:tcW w:type="dxa" w:w="5112"/>
            <w:vAlign w:val="center"/>
          </w:tcPr>
          <w:p>
            <w:r>
              <w:t>IA, flows, visual system, copy, approval UX</w:t>
            </w:r>
          </w:p>
        </w:tc>
      </w:tr>
      <w:tr>
        <w:tc>
          <w:tcPr>
            <w:tcW w:type="dxa" w:w="5112"/>
            <w:vAlign w:val="center"/>
          </w:tcPr>
          <w:p>
            <w:r>
              <w:t>Frontend</w:t>
            </w:r>
          </w:p>
        </w:tc>
        <w:tc>
          <w:tcPr>
            <w:tcW w:type="dxa" w:w="5112"/>
            <w:vAlign w:val="center"/>
          </w:tcPr>
          <w:p>
            <w:r>
              <w:t>Command center, case detail, agent console, motion</w:t>
            </w:r>
          </w:p>
        </w:tc>
      </w:tr>
      <w:tr>
        <w:tc>
          <w:tcPr>
            <w:tcW w:type="dxa" w:w="5112"/>
            <w:vAlign w:val="center"/>
          </w:tcPr>
          <w:p>
            <w:r>
              <w:t>Backend</w:t>
            </w:r>
          </w:p>
        </w:tc>
        <w:tc>
          <w:tcPr>
            <w:tcW w:type="dxa" w:w="5112"/>
            <w:vAlign w:val="center"/>
          </w:tcPr>
          <w:p>
            <w:r>
              <w:t>DB, APIs, case state machine, auth</w:t>
            </w:r>
          </w:p>
        </w:tc>
      </w:tr>
      <w:tr>
        <w:tc>
          <w:tcPr>
            <w:tcW w:type="dxa" w:w="5112"/>
            <w:vAlign w:val="center"/>
          </w:tcPr>
          <w:p>
            <w:r>
              <w:t>AI/Agent</w:t>
            </w:r>
          </w:p>
        </w:tc>
        <w:tc>
          <w:tcPr>
            <w:tcW w:type="dxa" w:w="5112"/>
            <w:vAlign w:val="center"/>
          </w:tcPr>
          <w:p>
            <w:r>
              <w:t>Extraction, reasoning, planner, validation</w:t>
            </w:r>
          </w:p>
        </w:tc>
      </w:tr>
      <w:tr>
        <w:tc>
          <w:tcPr>
            <w:tcW w:type="dxa" w:w="5112"/>
            <w:vAlign w:val="center"/>
          </w:tcPr>
          <w:p>
            <w:r>
              <w:t>WebMCP/Providers</w:t>
            </w:r>
          </w:p>
        </w:tc>
        <w:tc>
          <w:tcPr>
            <w:tcW w:type="dxa" w:w="5112"/>
            <w:vAlign w:val="center"/>
          </w:tcPr>
          <w:p>
            <w:r>
              <w:t>Provider sites, tools, discovery, state changes</w:t>
            </w:r>
          </w:p>
        </w:tc>
      </w:tr>
      <w:tr>
        <w:tc>
          <w:tcPr>
            <w:tcW w:type="dxa" w:w="5112"/>
            <w:vAlign w:val="center"/>
          </w:tcPr>
          <w:p>
            <w:r>
              <w:t>QA/DevOps</w:t>
            </w:r>
          </w:p>
        </w:tc>
        <w:tc>
          <w:tcPr>
            <w:tcW w:type="dxa" w:w="5112"/>
            <w:vAlign w:val="center"/>
          </w:tcPr>
          <w:p>
            <w:r>
              <w:t>Deployment, monitoring, test matrix, demo reliability</w:t>
            </w:r>
          </w:p>
        </w:tc>
      </w:tr>
    </w:tbl>
    <w:p>
      <w:r>
        <w:rPr>
          <w:b w:val="0"/>
        </w:rPr>
        <w:t>If fewer people are available, merge Product/UX with Frontend and QA/DevOps with Backend. Do not merge WebMCP with AI if both are technically complex.</w:t>
      </w:r>
    </w:p>
    <w:p>
      <w:pPr>
        <w:pStyle w:val="Heading1"/>
      </w:pPr>
      <w:r>
        <w:t>23. Design system</w:t>
      </w:r>
    </w:p>
    <w:p>
      <w:pPr>
        <w:pStyle w:val="ListBullet"/>
      </w:pPr>
      <w:r>
        <w:t>Visual personality: premium, calm, precise, trustworthy.</w:t>
      </w:r>
    </w:p>
    <w:p>
      <w:pPr>
        <w:pStyle w:val="ListBullet"/>
      </w:pPr>
      <w:r>
        <w:t>Primary interaction: cards, timelines, evidence panels, action sheets.</w:t>
      </w:r>
    </w:p>
    <w:p>
      <w:pPr>
        <w:pStyle w:val="ListBullet"/>
      </w:pPr>
      <w:r>
        <w:t>Use a restrained color system; reserve strong semantic colors for status.</w:t>
      </w:r>
    </w:p>
    <w:p>
      <w:pPr>
        <w:pStyle w:val="ListBullet"/>
      </w:pPr>
      <w:r>
        <w:t>Typography should make amounts and next actions visually dominant.</w:t>
      </w:r>
    </w:p>
    <w:p>
      <w:pPr>
        <w:pStyle w:val="ListBullet"/>
      </w:pPr>
      <w:r>
        <w:t>Every AI result gets provenance.</w:t>
      </w:r>
    </w:p>
    <w:p>
      <w:pPr>
        <w:pStyle w:val="ListBullet"/>
      </w:pPr>
      <w:r>
        <w:t>Every action gets an explicit state: proposed → approved → executing → confirmed.</w:t>
      </w:r>
    </w:p>
    <w:p>
      <w:pPr>
        <w:pStyle w:val="ListBullet"/>
      </w:pPr>
      <w:r>
        <w:t>Motion should explain causality: evidence enters, case forms, tool executes, result lands.</w:t>
      </w:r>
    </w:p>
    <w:p>
      <w:pPr>
        <w:pStyle w:val="ListBullet"/>
      </w:pPr>
      <w:r>
        <w:t>Never use fake typing animations to hide latency.</w:t>
      </w:r>
    </w:p>
    <w:p>
      <w:pPr>
        <w:pStyle w:val="Heading1"/>
      </w:pPr>
      <w:r>
        <w:t>24. Demo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Scenario</w:t>
            </w:r>
          </w:p>
        </w:tc>
        <w:tc>
          <w:tcPr>
            <w:tcW w:type="dxa" w:w="3408"/>
          </w:tcPr>
          <w:p>
            <w:r>
              <w:rPr>
                <w:b/>
              </w:rPr>
              <w:t>Why it matters</w:t>
            </w:r>
          </w:p>
        </w:tc>
        <w:tc>
          <w:tcPr>
            <w:tcW w:type="dxa" w:w="3408"/>
          </w:tcPr>
          <w:p>
            <w:r>
              <w:rPr>
                <w:b/>
              </w:rPr>
              <w:t>Wow</w:t>
            </w:r>
          </w:p>
        </w:tc>
      </w:tr>
      <w:tr>
        <w:tc>
          <w:tcPr>
            <w:tcW w:type="dxa" w:w="3408"/>
            <w:vAlign w:val="center"/>
          </w:tcPr>
          <w:p>
            <w:r>
              <w:t>Airline cancellation</w:t>
            </w:r>
          </w:p>
        </w:tc>
        <w:tc>
          <w:tcPr>
            <w:tcW w:type="dxa" w:w="3408"/>
            <w:vAlign w:val="center"/>
          </w:tcPr>
          <w:p>
            <w:r>
              <w:t>High emotional pain + compensation</w:t>
            </w:r>
          </w:p>
        </w:tc>
        <w:tc>
          <w:tcPr>
            <w:tcW w:type="dxa" w:w="3408"/>
            <w:vAlign w:val="center"/>
          </w:tcPr>
          <w:p>
            <w:r>
              <w:t>€183.40 claim executed</w:t>
            </w:r>
          </w:p>
        </w:tc>
      </w:tr>
      <w:tr>
        <w:tc>
          <w:tcPr>
            <w:tcW w:type="dxa" w:w="3408"/>
            <w:vAlign w:val="center"/>
          </w:tcPr>
          <w:p>
            <w:r>
              <w:t>Subscription after cancellation</w:t>
            </w:r>
          </w:p>
        </w:tc>
        <w:tc>
          <w:tcPr>
            <w:tcW w:type="dxa" w:w="3408"/>
            <w:vAlign w:val="center"/>
          </w:tcPr>
          <w:p>
            <w:r>
              <w:t>Very relatable</w:t>
            </w:r>
          </w:p>
        </w:tc>
        <w:tc>
          <w:tcPr>
            <w:tcW w:type="dxa" w:w="3408"/>
            <w:vAlign w:val="center"/>
          </w:tcPr>
          <w:p>
            <w:r>
              <w:t>Agent discovers hidden issue proactively</w:t>
            </w:r>
          </w:p>
        </w:tc>
      </w:tr>
      <w:tr>
        <w:tc>
          <w:tcPr>
            <w:tcW w:type="dxa" w:w="3408"/>
            <w:vAlign w:val="center"/>
          </w:tcPr>
          <w:p>
            <w:r>
              <w:t>Warranty claim</w:t>
            </w:r>
          </w:p>
        </w:tc>
        <w:tc>
          <w:tcPr>
            <w:tcW w:type="dxa" w:w="3408"/>
            <w:vAlign w:val="center"/>
          </w:tcPr>
          <w:p>
            <w:r>
              <w:t>Shows evidence + policy + action</w:t>
            </w:r>
          </w:p>
        </w:tc>
        <w:tc>
          <w:tcPr>
            <w:tcW w:type="dxa" w:w="3408"/>
            <w:vAlign w:val="center"/>
          </w:tcPr>
          <w:p>
            <w:r>
              <w:t>Vision/document → structured claim</w:t>
            </w:r>
          </w:p>
        </w:tc>
      </w:tr>
    </w:tbl>
    <w:p>
      <w:r>
        <w:rPr>
          <w:b w:val="0"/>
        </w:rPr>
        <w:t>Primary demo: airline cancellation. Secondary live test: subscription or warranty to prove generalization.</w:t>
      </w:r>
    </w:p>
    <w:p>
      <w:pPr>
        <w:pStyle w:val="Heading1"/>
      </w:pPr>
      <w:r>
        <w:t>25. Three-minute competition demo</w:t>
      </w:r>
    </w:p>
    <w:p>
      <w:r>
        <w:rPr>
          <w:b w:val="0"/>
        </w:rPr>
        <w:t>Target runtime: 2:30–2:50, comfortably below the supplied &lt;3 minute video limit.</w:t>
      </w:r>
    </w:p>
    <w:p>
      <w:pPr>
        <w:pStyle w:val="ListNumber"/>
      </w:pPr>
      <w:r>
        <w:t>0:00–0:20 — Show the ugly invoice/email and state the human problem.</w:t>
      </w:r>
    </w:p>
    <w:p>
      <w:pPr>
        <w:pStyle w:val="ListNumber"/>
      </w:pPr>
      <w:r>
        <w:t>0:20–0:45 — Upload it. Show the system reconstructing the timeline and identifying €183.40 potentially recoverable.</w:t>
      </w:r>
    </w:p>
    <w:p>
      <w:pPr>
        <w:pStyle w:val="ListNumber"/>
      </w:pPr>
      <w:r>
        <w:t>0:45–1:10 — Open evidence/policy. Show why the amount is supported.</w:t>
      </w:r>
    </w:p>
    <w:p>
      <w:pPr>
        <w:pStyle w:val="ListNumber"/>
      </w:pPr>
      <w:r>
        <w:t>1:10–1:30 — Show the agent plan and WebMCP capabilities it discovered.</w:t>
      </w:r>
    </w:p>
    <w:p>
      <w:pPr>
        <w:pStyle w:val="ListNumber"/>
      </w:pPr>
      <w:r>
        <w:t>1:30–1:50 — Show permission center. User approves the consequential action.</w:t>
      </w:r>
    </w:p>
    <w:p>
      <w:pPr>
        <w:pStyle w:val="ListNumber"/>
      </w:pPr>
      <w:r>
        <w:t>1:50–2:10 — Invoke submit_dispute. Show real provider state change and case number.</w:t>
      </w:r>
    </w:p>
    <w:p>
      <w:pPr>
        <w:pStyle w:val="ListNumber"/>
      </w:pPr>
      <w:r>
        <w:t>2:10–2:30 — Show monitoring/follow-up and recovered value.</w:t>
      </w:r>
    </w:p>
    <w:p>
      <w:pPr>
        <w:pStyle w:val="ListNumber"/>
      </w:pPr>
      <w:r>
        <w:t>2:30–2:50 — Show the same orchestrator discovering a different provider's tools. End with the thesis: the web becomes usable by agents, while humans remain in control.</w:t>
      </w:r>
    </w:p>
    <w:p>
      <w:r>
        <w:rPr>
          <w:b w:val="0"/>
        </w:rPr>
        <w:t>Final line: “We didn't build an AI that tells consumers what to do. We built an agent that can understand the problem, ask permission at the right moment, and use the web to actually resolve it.”</w:t>
      </w:r>
    </w:p>
    <w:p>
      <w:pPr>
        <w:pStyle w:val="Heading1"/>
      </w:pPr>
      <w:r>
        <w:t>26. Judge Q&amp;A</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Question</w:t>
            </w:r>
          </w:p>
        </w:tc>
        <w:tc>
          <w:tcPr>
            <w:tcW w:type="dxa" w:w="5112"/>
          </w:tcPr>
          <w:p>
            <w:r>
              <w:rPr>
                <w:b/>
              </w:rPr>
              <w:t>Answer</w:t>
            </w:r>
          </w:p>
        </w:tc>
      </w:tr>
      <w:tr>
        <w:tc>
          <w:tcPr>
            <w:tcW w:type="dxa" w:w="5112"/>
            <w:vAlign w:val="center"/>
          </w:tcPr>
          <w:p>
            <w:r>
              <w:t>Why WebMCP?</w:t>
            </w:r>
          </w:p>
        </w:tc>
        <w:tc>
          <w:tcPr>
            <w:tcW w:type="dxa" w:w="5112"/>
            <w:vAlign w:val="center"/>
          </w:tcPr>
          <w:p>
            <w:r>
              <w:t>Because structured capabilities let agents execute reliably instead of guessing through visual UI.</w:t>
            </w:r>
          </w:p>
        </w:tc>
      </w:tr>
      <w:tr>
        <w:tc>
          <w:tcPr>
            <w:tcW w:type="dxa" w:w="5112"/>
            <w:vAlign w:val="center"/>
          </w:tcPr>
          <w:p>
            <w:r>
              <w:t>Isn't this a chatbot?</w:t>
            </w:r>
          </w:p>
        </w:tc>
        <w:tc>
          <w:tcPr>
            <w:tcW w:type="dxa" w:w="5112"/>
            <w:vAlign w:val="center"/>
          </w:tcPr>
          <w:p>
            <w:r>
              <w:t>No. The core artifact is a stateful case and execution workflow, not a conversation.</w:t>
            </w:r>
          </w:p>
        </w:tc>
      </w:tr>
      <w:tr>
        <w:tc>
          <w:tcPr>
            <w:tcW w:type="dxa" w:w="5112"/>
            <w:vAlign w:val="center"/>
          </w:tcPr>
          <w:p>
            <w:r>
              <w:t>Why not browser automation?</w:t>
            </w:r>
          </w:p>
        </w:tc>
        <w:tc>
          <w:tcPr>
            <w:tcW w:type="dxa" w:w="5112"/>
            <w:vAlign w:val="center"/>
          </w:tcPr>
          <w:p>
            <w:r>
              <w:t>Browser automation infers UI. WebMCP lets the website explicitly expose typed capabilities.</w:t>
            </w:r>
          </w:p>
        </w:tc>
      </w:tr>
      <w:tr>
        <w:tc>
          <w:tcPr>
            <w:tcW w:type="dxa" w:w="5112"/>
            <w:vAlign w:val="center"/>
          </w:tcPr>
          <w:p>
            <w:r>
              <w:t>Why human approval?</w:t>
            </w:r>
          </w:p>
        </w:tc>
        <w:tc>
          <w:tcPr>
            <w:tcW w:type="dxa" w:w="5112"/>
            <w:vAlign w:val="center"/>
          </w:tcPr>
          <w:p>
            <w:r>
              <w:t>Money and consequential actions require trust boundaries; the agent handles complexity while the user retains authority.</w:t>
            </w:r>
          </w:p>
        </w:tc>
      </w:tr>
      <w:tr>
        <w:tc>
          <w:tcPr>
            <w:tcW w:type="dxa" w:w="5112"/>
            <w:vAlign w:val="center"/>
          </w:tcPr>
          <w:p>
            <w:r>
              <w:t>How does it scale?</w:t>
            </w:r>
          </w:p>
        </w:tc>
        <w:tc>
          <w:tcPr>
            <w:tcW w:type="dxa" w:w="5112"/>
            <w:vAlign w:val="center"/>
          </w:tcPr>
          <w:p>
            <w:r>
              <w:t>Providers can expose capabilities; Aegis becomes the reasoning, permission, and orchestration layer.</w:t>
            </w:r>
          </w:p>
        </w:tc>
      </w:tr>
      <w:tr>
        <w:tc>
          <w:tcPr>
            <w:tcW w:type="dxa" w:w="5112"/>
            <w:vAlign w:val="center"/>
          </w:tcPr>
          <w:p>
            <w:r>
              <w:t>What is the moat?</w:t>
            </w:r>
          </w:p>
        </w:tc>
        <w:tc>
          <w:tcPr>
            <w:tcW w:type="dxa" w:w="5112"/>
            <w:vAlign w:val="center"/>
          </w:tcPr>
          <w:p>
            <w:r>
              <w:t>Case intelligence, evidence graph, permission system, workflow reliability, and an ecosystem of agent-native providers.</w:t>
            </w:r>
          </w:p>
        </w:tc>
      </w:tr>
      <w:tr>
        <w:tc>
          <w:tcPr>
            <w:tcW w:type="dxa" w:w="5112"/>
            <w:vAlign w:val="center"/>
          </w:tcPr>
          <w:p>
            <w:r>
              <w:t>What happens when AI is wrong?</w:t>
            </w:r>
          </w:p>
        </w:tc>
        <w:tc>
          <w:tcPr>
            <w:tcW w:type="dxa" w:w="5112"/>
            <w:vAlign w:val="center"/>
          </w:tcPr>
          <w:p>
            <w:r>
              <w:t>Schema validation, provenance, deterministic critical checks, re-reading provider state, and approval gates prevent silent consequential errors.</w:t>
            </w:r>
          </w:p>
        </w:tc>
      </w:tr>
      <w:tr>
        <w:tc>
          <w:tcPr>
            <w:tcW w:type="dxa" w:w="5112"/>
            <w:vAlign w:val="center"/>
          </w:tcPr>
          <w:p>
            <w:r>
              <w:t>Business model?</w:t>
            </w:r>
          </w:p>
        </w:tc>
        <w:tc>
          <w:tcPr>
            <w:tcW w:type="dxa" w:w="5112"/>
            <w:vAlign w:val="center"/>
          </w:tcPr>
          <w:p>
            <w:r>
              <w:t>Initially success-based pricing for recovered value; later subscription and B2B infrastructure models.</w:t>
            </w:r>
          </w:p>
        </w:tc>
      </w:tr>
    </w:tbl>
    <w:p>
      <w:pPr>
        <w:pStyle w:val="Heading1"/>
      </w:pPr>
      <w:r>
        <w:t>27. Competitive defense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Alternative</w:t>
            </w:r>
          </w:p>
        </w:tc>
        <w:tc>
          <w:tcPr>
            <w:tcW w:type="dxa" w:w="5112"/>
          </w:tcPr>
          <w:p>
            <w:r>
              <w:rPr>
                <w:b/>
              </w:rPr>
              <w:t>Why Aegis is different</w:t>
            </w:r>
          </w:p>
        </w:tc>
      </w:tr>
      <w:tr>
        <w:tc>
          <w:tcPr>
            <w:tcW w:type="dxa" w:w="5112"/>
            <w:vAlign w:val="center"/>
          </w:tcPr>
          <w:p>
            <w:r>
              <w:t>ChatGPT</w:t>
            </w:r>
          </w:p>
        </w:tc>
        <w:tc>
          <w:tcPr>
            <w:tcW w:type="dxa" w:w="5112"/>
            <w:vAlign w:val="center"/>
          </w:tcPr>
          <w:p>
            <w:r>
              <w:t>Can reason/draft; Aegis executes a verified case through provider capabilities.</w:t>
            </w:r>
          </w:p>
        </w:tc>
      </w:tr>
      <w:tr>
        <w:tc>
          <w:tcPr>
            <w:tcW w:type="dxa" w:w="5112"/>
            <w:vAlign w:val="center"/>
          </w:tcPr>
          <w:p>
            <w:r>
              <w:t>Browser automation</w:t>
            </w:r>
          </w:p>
        </w:tc>
        <w:tc>
          <w:tcPr>
            <w:tcW w:type="dxa" w:w="5112"/>
            <w:vAlign w:val="center"/>
          </w:tcPr>
          <w:p>
            <w:r>
              <w:t>Clicks inferred UI; Aegis uses explicit agent-native tools.</w:t>
            </w:r>
          </w:p>
        </w:tc>
      </w:tr>
      <w:tr>
        <w:tc>
          <w:tcPr>
            <w:tcW w:type="dxa" w:w="5112"/>
            <w:vAlign w:val="center"/>
          </w:tcPr>
          <w:p>
            <w:r>
              <w:t>Refund services</w:t>
            </w:r>
          </w:p>
        </w:tc>
        <w:tc>
          <w:tcPr>
            <w:tcW w:type="dxa" w:w="5112"/>
            <w:vAlign w:val="center"/>
          </w:tcPr>
          <w:p>
            <w:r>
              <w:t>Often focus on one category; Aegis is a general orchestration layer.</w:t>
            </w:r>
          </w:p>
        </w:tc>
      </w:tr>
      <w:tr>
        <w:tc>
          <w:tcPr>
            <w:tcW w:type="dxa" w:w="5112"/>
            <w:vAlign w:val="center"/>
          </w:tcPr>
          <w:p>
            <w:r>
              <w:t>Customer support</w:t>
            </w:r>
          </w:p>
        </w:tc>
        <w:tc>
          <w:tcPr>
            <w:tcW w:type="dxa" w:w="5112"/>
            <w:vAlign w:val="center"/>
          </w:tcPr>
          <w:p>
            <w:r>
              <w:t>User must navigate support; Aegis prepares and executes the resolution.</w:t>
            </w:r>
          </w:p>
        </w:tc>
      </w:tr>
      <w:tr>
        <w:tc>
          <w:tcPr>
            <w:tcW w:type="dxa" w:w="5112"/>
            <w:vAlign w:val="center"/>
          </w:tcPr>
          <w:p>
            <w:r>
              <w:t>Personal finance apps</w:t>
            </w:r>
          </w:p>
        </w:tc>
        <w:tc>
          <w:tcPr>
            <w:tcW w:type="dxa" w:w="5112"/>
            <w:vAlign w:val="center"/>
          </w:tcPr>
          <w:p>
            <w:r>
              <w:t>Surface transactions; Aegis turns findings into actions.</w:t>
            </w:r>
          </w:p>
        </w:tc>
      </w:tr>
    </w:tbl>
    <w:p>
      <w:pPr>
        <w:pStyle w:val="Heading1"/>
      </w:pPr>
      <w:r>
        <w:t>28. Success metrics</w:t>
      </w:r>
    </w:p>
    <w:p>
      <w:pPr>
        <w:pStyle w:val="ListBullet"/>
      </w:pPr>
      <w:r>
        <w:t>Case completion rate</w:t>
      </w:r>
    </w:p>
    <w:p>
      <w:pPr>
        <w:pStyle w:val="ListBullet"/>
      </w:pPr>
      <w:r>
        <w:t>Recovered money per active user</w:t>
      </w:r>
    </w:p>
    <w:p>
      <w:pPr>
        <w:pStyle w:val="ListBullet"/>
      </w:pPr>
      <w:r>
        <w:t>Median time saved per resolved case</w:t>
      </w:r>
    </w:p>
    <w:p>
      <w:pPr>
        <w:pStyle w:val="ListBullet"/>
      </w:pPr>
      <w:r>
        <w:t>Agent action success rate</w:t>
      </w:r>
    </w:p>
    <w:p>
      <w:pPr>
        <w:pStyle w:val="ListBullet"/>
      </w:pPr>
      <w:r>
        <w:t>Human approval rate</w:t>
      </w:r>
    </w:p>
    <w:p>
      <w:pPr>
        <w:pStyle w:val="ListBullet"/>
      </w:pPr>
      <w:r>
        <w:t>False-positive rate for proactive findings</w:t>
      </w:r>
    </w:p>
    <w:p>
      <w:pPr>
        <w:pStyle w:val="ListBullet"/>
      </w:pPr>
      <w:r>
        <w:t>Average number of manual steps eliminated</w:t>
      </w:r>
    </w:p>
    <w:p>
      <w:pPr>
        <w:pStyle w:val="ListBullet"/>
      </w:pPr>
      <w:r>
        <w:t>Tool-call success rate</w:t>
      </w:r>
    </w:p>
    <w:p>
      <w:pPr>
        <w:pStyle w:val="ListBullet"/>
      </w:pPr>
      <w:r>
        <w:t>Time from evidence upload to action-ready case</w:t>
      </w:r>
    </w:p>
    <w:p>
      <w:pPr>
        <w:pStyle w:val="ListBullet"/>
      </w:pPr>
      <w:r>
        <w:t>Percentage of cases resolved without escalation</w:t>
      </w:r>
    </w:p>
    <w:p>
      <w:pPr>
        <w:pStyle w:val="Heading1"/>
      </w:pPr>
      <w:r>
        <w:t>29. Final product north star</w:t>
      </w:r>
    </w:p>
    <w:p>
      <w:r>
        <w:rPr>
          <w:b w:val="0"/>
        </w:rPr>
        <w:t>The north-star experience is not “ask an AI.” It is:</w:t>
      </w:r>
    </w:p>
    <w:p>
      <w:pPr>
        <w:ind w:left="360"/>
      </w:pPr>
      <w:r>
        <w:rPr>
          <w:rFonts w:ascii="Consolas" w:hAnsi="Consolas"/>
          <w:sz w:val="17"/>
        </w:rPr>
        <w:t>Something went wrong.</w:t>
        <w:br/>
        <w:t xml:space="preserve">        ↓</w:t>
        <w:br/>
        <w:t>Aegis notices / understands.</w:t>
        <w:br/>
        <w:t xml:space="preserve">        ↓</w:t>
        <w:br/>
        <w:t>It proves what happened.</w:t>
        <w:br/>
        <w:t xml:space="preserve">        ↓</w:t>
        <w:br/>
        <w:t>It determines what can be done.</w:t>
        <w:br/>
        <w:t xml:space="preserve">        ↓</w:t>
        <w:br/>
        <w:t>It prepares the best action.</w:t>
        <w:br/>
        <w:t xml:space="preserve">        ↓</w:t>
        <w:br/>
        <w:t>Human approves when needed.</w:t>
        <w:br/>
        <w:t xml:space="preserve">        ↓</w:t>
        <w:br/>
        <w:t>The agent uses the web.</w:t>
        <w:br/>
        <w:t xml:space="preserve">        ↓</w:t>
        <w:br/>
        <w:t>The case gets resolved.</w:t>
      </w:r>
    </w:p>
    <w:p>
      <w:r>
        <w:rPr>
          <w:b w:val="0"/>
        </w:rPr>
        <w:t>If we execute this at a premium product quality level, we are not competing on feature count. We are demonstrating a new interaction model for the web.</w:t>
      </w:r>
    </w:p>
    <w:p>
      <w:pPr>
        <w:pStyle w:val="Heading1"/>
      </w:pPr>
      <w:r>
        <w:t>30. Build checklist</w:t>
      </w:r>
    </w:p>
    <w:p>
      <w:r>
        <w:rPr>
          <w:b w:val="0"/>
        </w:rPr>
        <w:t>□ Repository created with open-source license</w:t>
      </w:r>
    </w:p>
    <w:p>
      <w:r>
        <w:rPr>
          <w:b w:val="0"/>
        </w:rPr>
        <w:t>□ Production deployment established</w:t>
      </w:r>
    </w:p>
    <w:p>
      <w:r>
        <w:rPr>
          <w:b w:val="0"/>
        </w:rPr>
        <w:t>□ Design system locked</w:t>
      </w:r>
    </w:p>
    <w:p>
      <w:r>
        <w:rPr>
          <w:b w:val="0"/>
        </w:rPr>
        <w:t>□ Database schema + migrations</w:t>
      </w:r>
    </w:p>
    <w:p>
      <w:r>
        <w:rPr>
          <w:b w:val="0"/>
        </w:rPr>
        <w:t>□ Auth + consent</w:t>
      </w:r>
    </w:p>
    <w:p>
      <w:r>
        <w:rPr>
          <w:b w:val="0"/>
        </w:rPr>
        <w:t>□ Case state machine</w:t>
      </w:r>
    </w:p>
    <w:p>
      <w:r>
        <w:rPr>
          <w:b w:val="0"/>
        </w:rPr>
        <w:t>□ Document ingestion</w:t>
      </w:r>
    </w:p>
    <w:p>
      <w:r>
        <w:rPr>
          <w:b w:val="0"/>
        </w:rPr>
        <w:t>□ Structured extraction</w:t>
      </w:r>
    </w:p>
    <w:p>
      <w:r>
        <w:rPr>
          <w:b w:val="0"/>
        </w:rPr>
        <w:t>□ Evidence provenance</w:t>
      </w:r>
    </w:p>
    <w:p>
      <w:r>
        <w:rPr>
          <w:b w:val="0"/>
        </w:rPr>
        <w:t>□ Policy service</w:t>
      </w:r>
    </w:p>
    <w:p>
      <w:r>
        <w:rPr>
          <w:b w:val="0"/>
        </w:rPr>
        <w:t>□ Eligibility engine</w:t>
      </w:r>
    </w:p>
    <w:p>
      <w:r>
        <w:rPr>
          <w:b w:val="0"/>
        </w:rPr>
        <w:t>□ Strategy engine</w:t>
      </w:r>
    </w:p>
    <w:p>
      <w:r>
        <w:rPr>
          <w:b w:val="0"/>
        </w:rPr>
        <w:t>□ Permission engine</w:t>
      </w:r>
    </w:p>
    <w:p>
      <w:r>
        <w:rPr>
          <w:b w:val="0"/>
        </w:rPr>
        <w:t>□ Agent orchestrator</w:t>
      </w:r>
    </w:p>
    <w:p>
      <w:r>
        <w:rPr>
          <w:b w:val="0"/>
        </w:rPr>
        <w:t>□ Provider 1 WebMCP tools</w:t>
      </w:r>
    </w:p>
    <w:p>
      <w:r>
        <w:rPr>
          <w:b w:val="0"/>
        </w:rPr>
        <w:t>□ Provider 2 WebMCP tools</w:t>
      </w:r>
    </w:p>
    <w:p>
      <w:r>
        <w:rPr>
          <w:b w:val="0"/>
        </w:rPr>
        <w:t>□ Provider 3 WebMCP tools</w:t>
      </w:r>
    </w:p>
    <w:p>
      <w:r>
        <w:rPr>
          <w:b w:val="0"/>
        </w:rPr>
        <w:t>□ Tool discovery</w:t>
      </w:r>
    </w:p>
    <w:p>
      <w:r>
        <w:rPr>
          <w:b w:val="0"/>
        </w:rPr>
        <w:t>□ Human approval flow</w:t>
      </w:r>
    </w:p>
    <w:p>
      <w:r>
        <w:rPr>
          <w:b w:val="0"/>
        </w:rPr>
        <w:t>□ Idempotent execution</w:t>
      </w:r>
    </w:p>
    <w:p>
      <w:r>
        <w:rPr>
          <w:b w:val="0"/>
        </w:rPr>
        <w:t>□ Monitoring</w:t>
      </w:r>
    </w:p>
    <w:p>
      <w:r>
        <w:rPr>
          <w:b w:val="0"/>
        </w:rPr>
        <w:t>□ Follow-up</w:t>
      </w:r>
    </w:p>
    <w:p>
      <w:r>
        <w:rPr>
          <w:b w:val="0"/>
        </w:rPr>
        <w:t>□ Agent console</w:t>
      </w:r>
    </w:p>
    <w:p>
      <w:r>
        <w:rPr>
          <w:b w:val="0"/>
        </w:rPr>
        <w:t>□ Error states</w:t>
      </w:r>
    </w:p>
    <w:p>
      <w:r>
        <w:rPr>
          <w:b w:val="0"/>
        </w:rPr>
        <w:t>□ Observability</w:t>
      </w:r>
    </w:p>
    <w:p>
      <w:r>
        <w:rPr>
          <w:b w:val="0"/>
        </w:rPr>
        <w:t>□ Automated tests</w:t>
      </w:r>
    </w:p>
    <w:p>
      <w:r>
        <w:rPr>
          <w:b w:val="0"/>
        </w:rPr>
        <w:t>□ WebMCP environment testing</w:t>
      </w:r>
    </w:p>
    <w:p>
      <w:r>
        <w:rPr>
          <w:b w:val="0"/>
        </w:rPr>
        <w:t>□ Demo scenario locked</w:t>
      </w:r>
    </w:p>
    <w:p>
      <w:r>
        <w:rPr>
          <w:b w:val="0"/>
        </w:rPr>
        <w:t>□ &lt;3 minute video recorded</w:t>
      </w:r>
    </w:p>
    <w:p>
      <w:r>
        <w:rPr>
          <w:b w:val="0"/>
        </w:rPr>
        <w:t>□ Devpost copy completed</w:t>
      </w:r>
    </w:p>
    <w:p>
      <w:pPr>
        <w:pStyle w:val="Heading1"/>
      </w:pPr>
      <w:r>
        <w:t>31. Decision</w:t>
      </w:r>
    </w:p>
    <w:p>
      <w:r>
        <w:rPr>
          <w:b/>
        </w:rPr>
        <w:t>Build Aegis. Do not dilute the core concept. Make the product feel like a real consumer advocacy platform and make WebMCP the mechanism that turns intelligence into execution. The winning story is not “AI can understand a bill.” The winning story is “the web itself has become executable by an agent, and this is what a genuinely useful agent-native consumer product looks like.”</w:t>
      </w:r>
    </w:p>
    <w:p>
      <w:r>
        <w:br w:type="page"/>
      </w:r>
    </w:p>
    <w:p>
      <w:pPr>
        <w:pStyle w:val="Heading1"/>
      </w:pPr>
      <w:r>
        <w:t>32. API &amp; External Services — Build Specification</w:t>
      </w:r>
    </w:p>
    <w:p>
      <w:r>
        <w:rPr>
          <w:b/>
        </w:rPr>
        <w:t xml:space="preserve">Rule: </w:t>
      </w:r>
      <w:r>
        <w:t>Use the minimum number of external APIs possible. Every external dependency must have a clear purpose and a fallback where practical.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Service / API</w:t>
            </w:r>
          </w:p>
        </w:tc>
        <w:tc>
          <w:tcPr>
            <w:tcW w:type="dxa" w:w="2556"/>
          </w:tcPr>
          <w:p>
            <w:r>
              <w:rPr>
                <w:b/>
              </w:rPr>
              <w:t>Purpose in Aegis</w:t>
            </w:r>
          </w:p>
        </w:tc>
        <w:tc>
          <w:tcPr>
            <w:tcW w:type="dxa" w:w="2556"/>
          </w:tcPr>
          <w:p>
            <w:r>
              <w:rPr>
                <w:b/>
              </w:rPr>
              <w:t>Required?</w:t>
            </w:r>
          </w:p>
        </w:tc>
        <w:tc>
          <w:tcPr>
            <w:tcW w:type="dxa" w:w="2556"/>
          </w:tcPr>
          <w:p>
            <w:r>
              <w:rPr>
                <w:b/>
              </w:rPr>
              <w:t>Implementation</w:t>
            </w:r>
          </w:p>
        </w:tc>
      </w:tr>
      <w:tr>
        <w:tc>
          <w:tcPr>
            <w:tcW w:type="dxa" w:w="2556"/>
          </w:tcPr>
          <w:p>
            <w:r>
              <w:t>Regolo AI API</w:t>
            </w:r>
          </w:p>
        </w:tc>
        <w:tc>
          <w:tcPr>
            <w:tcW w:type="dxa" w:w="2556"/>
          </w:tcPr>
          <w:p>
            <w:r>
              <w:t>LLM inference: extraction, reasoning, strategy, drafting</w:t>
            </w:r>
          </w:p>
        </w:tc>
        <w:tc>
          <w:tcPr>
            <w:tcW w:type="dxa" w:w="2556"/>
          </w:tcPr>
          <w:p>
            <w:r>
              <w:t>YES</w:t>
            </w:r>
          </w:p>
        </w:tc>
        <w:tc>
          <w:tcPr>
            <w:tcW w:type="dxa" w:w="2556"/>
          </w:tcPr>
          <w:p>
            <w:r>
              <w:t>OpenAI-compatible client behind an AI Gateway</w:t>
            </w:r>
          </w:p>
        </w:tc>
      </w:tr>
      <w:tr>
        <w:tc>
          <w:tcPr>
            <w:tcW w:type="dxa" w:w="2556"/>
          </w:tcPr>
          <w:p>
            <w:r>
              <w:t>WebMCP / Model Context APIs</w:t>
            </w:r>
          </w:p>
        </w:tc>
        <w:tc>
          <w:tcPr>
            <w:tcW w:type="dxa" w:w="2556"/>
          </w:tcPr>
          <w:p>
            <w:r>
              <w:t>Agent-to-website capability discovery and execution</w:t>
            </w:r>
          </w:p>
        </w:tc>
        <w:tc>
          <w:tcPr>
            <w:tcW w:type="dxa" w:w="2556"/>
          </w:tcPr>
          <w:p>
            <w:r>
              <w:t>YES</w:t>
            </w:r>
          </w:p>
        </w:tc>
        <w:tc>
          <w:tcPr>
            <w:tcW w:type="dxa" w:w="2556"/>
          </w:tcPr>
          <w:p>
            <w:r>
              <w:t>Provider sites expose typed tools; Aegis discovers/invokes them</w:t>
            </w:r>
          </w:p>
        </w:tc>
      </w:tr>
      <w:tr>
        <w:tc>
          <w:tcPr>
            <w:tcW w:type="dxa" w:w="2556"/>
          </w:tcPr>
          <w:p>
            <w:r>
              <w:t>Supabase PostgreSQL</w:t>
            </w:r>
          </w:p>
        </w:tc>
        <w:tc>
          <w:tcPr>
            <w:tcW w:type="dxa" w:w="2556"/>
          </w:tcPr>
          <w:p>
            <w:r>
              <w:t>Users, cases, evidence metadata, policies, claims, actions, permissions</w:t>
            </w:r>
          </w:p>
        </w:tc>
        <w:tc>
          <w:tcPr>
            <w:tcW w:type="dxa" w:w="2556"/>
          </w:tcPr>
          <w:p>
            <w:r>
              <w:t>YES</w:t>
            </w:r>
          </w:p>
        </w:tc>
        <w:tc>
          <w:tcPr>
            <w:tcW w:type="dxa" w:w="2556"/>
          </w:tcPr>
          <w:p>
            <w:r>
              <w:t>Relational schema + migrations</w:t>
            </w:r>
          </w:p>
        </w:tc>
      </w:tr>
      <w:tr>
        <w:tc>
          <w:tcPr>
            <w:tcW w:type="dxa" w:w="2556"/>
          </w:tcPr>
          <w:p>
            <w:r>
              <w:t>Supabase Storage</w:t>
            </w:r>
          </w:p>
        </w:tc>
        <w:tc>
          <w:tcPr>
            <w:tcW w:type="dxa" w:w="2556"/>
          </w:tcPr>
          <w:p>
            <w:r>
              <w:t>Receipts, invoices, screenshots, evidence files</w:t>
            </w:r>
          </w:p>
        </w:tc>
        <w:tc>
          <w:tcPr>
            <w:tcW w:type="dxa" w:w="2556"/>
          </w:tcPr>
          <w:p>
            <w:r>
              <w:t>YES</w:t>
            </w:r>
          </w:p>
        </w:tc>
        <w:tc>
          <w:tcPr>
            <w:tcW w:type="dxa" w:w="2556"/>
          </w:tcPr>
          <w:p>
            <w:r>
              <w:t>Private buckets + signed access</w:t>
            </w:r>
          </w:p>
        </w:tc>
      </w:tr>
      <w:tr>
        <w:tc>
          <w:tcPr>
            <w:tcW w:type="dxa" w:w="2556"/>
          </w:tcPr>
          <w:p>
            <w:r>
              <w:t>Supabase Auth</w:t>
            </w:r>
          </w:p>
        </w:tc>
        <w:tc>
          <w:tcPr>
            <w:tcW w:type="dxa" w:w="2556"/>
          </w:tcPr>
          <w:p>
            <w:r>
              <w:t>Authentication and sessions</w:t>
            </w:r>
          </w:p>
        </w:tc>
        <w:tc>
          <w:tcPr>
            <w:tcW w:type="dxa" w:w="2556"/>
          </w:tcPr>
          <w:p>
            <w:r>
              <w:t>YES</w:t>
            </w:r>
          </w:p>
        </w:tc>
        <w:tc>
          <w:tcPr>
            <w:tcW w:type="dxa" w:w="2556"/>
          </w:tcPr>
          <w:p>
            <w:r>
              <w:t>Email/password or magic link</w:t>
            </w:r>
          </w:p>
        </w:tc>
      </w:tr>
      <w:tr>
        <w:tc>
          <w:tcPr>
            <w:tcW w:type="dxa" w:w="2556"/>
          </w:tcPr>
          <w:p>
            <w:r>
              <w:t>Next.js / React</w:t>
            </w:r>
          </w:p>
        </w:tc>
        <w:tc>
          <w:tcPr>
            <w:tcW w:type="dxa" w:w="2556"/>
          </w:tcPr>
          <w:p>
            <w:r>
              <w:t>Product UI and server routes</w:t>
            </w:r>
          </w:p>
        </w:tc>
        <w:tc>
          <w:tcPr>
            <w:tcW w:type="dxa" w:w="2556"/>
          </w:tcPr>
          <w:p>
            <w:r>
              <w:t>YES</w:t>
            </w:r>
          </w:p>
        </w:tc>
        <w:tc>
          <w:tcPr>
            <w:tcW w:type="dxa" w:w="2556"/>
          </w:tcPr>
          <w:p>
            <w:r>
              <w:t>Modular monolith</w:t>
            </w:r>
          </w:p>
        </w:tc>
      </w:tr>
      <w:tr>
        <w:tc>
          <w:tcPr>
            <w:tcW w:type="dxa" w:w="2556"/>
          </w:tcPr>
          <w:p>
            <w:r>
              <w:t>Cloudflare Workers/Pages</w:t>
            </w:r>
          </w:p>
        </w:tc>
        <w:tc>
          <w:tcPr>
            <w:tcW w:type="dxa" w:w="2556"/>
          </w:tcPr>
          <w:p>
            <w:r>
              <w:t>Deployment</w:t>
            </w:r>
          </w:p>
        </w:tc>
        <w:tc>
          <w:tcPr>
            <w:tcW w:type="dxa" w:w="2556"/>
          </w:tcPr>
          <w:p>
            <w:r>
              <w:t>YES</w:t>
            </w:r>
          </w:p>
        </w:tc>
        <w:tc>
          <w:tcPr>
            <w:tcW w:type="dxa" w:w="2556"/>
          </w:tcPr>
          <w:p>
            <w:r>
              <w:t>Deploy where compatible with chosen Next.js setup</w:t>
            </w:r>
          </w:p>
        </w:tc>
      </w:tr>
      <w:tr>
        <w:tc>
          <w:tcPr>
            <w:tcW w:type="dxa" w:w="2556"/>
          </w:tcPr>
          <w:p>
            <w:r>
              <w:t>GitHub</w:t>
            </w:r>
          </w:p>
        </w:tc>
        <w:tc>
          <w:tcPr>
            <w:tcW w:type="dxa" w:w="2556"/>
          </w:tcPr>
          <w:p>
            <w:r>
              <w:t>Source control / public repo</w:t>
            </w:r>
          </w:p>
        </w:tc>
        <w:tc>
          <w:tcPr>
            <w:tcW w:type="dxa" w:w="2556"/>
          </w:tcPr>
          <w:p>
            <w:r>
              <w:t>YES</w:t>
            </w:r>
          </w:p>
        </w:tc>
        <w:tc>
          <w:tcPr>
            <w:tcW w:type="dxa" w:w="2556"/>
          </w:tcPr>
          <w:p>
            <w:r>
              <w:t>Public repo + license</w:t>
            </w:r>
          </w:p>
        </w:tc>
      </w:tr>
      <w:tr>
        <w:tc>
          <w:tcPr>
            <w:tcW w:type="dxa" w:w="2556"/>
          </w:tcPr>
          <w:p>
            <w:r>
              <w:t>Email API</w:t>
            </w:r>
          </w:p>
        </w:tc>
        <w:tc>
          <w:tcPr>
            <w:tcW w:type="dxa" w:w="2556"/>
          </w:tcPr>
          <w:p>
            <w:r>
              <w:t>Email ingestion / follow-ups</w:t>
            </w:r>
          </w:p>
        </w:tc>
        <w:tc>
          <w:tcPr>
            <w:tcW w:type="dxa" w:w="2556"/>
          </w:tcPr>
          <w:p>
            <w:r>
              <w:t>NO — later</w:t>
            </w:r>
          </w:p>
        </w:tc>
        <w:tc>
          <w:tcPr>
            <w:tcW w:type="dxa" w:w="2556"/>
          </w:tcPr>
          <w:p>
            <w:r>
              <w:t>Simulate in MVP; add after core flow</w:t>
            </w:r>
          </w:p>
        </w:tc>
      </w:tr>
      <w:tr>
        <w:tc>
          <w:tcPr>
            <w:tcW w:type="dxa" w:w="2556"/>
          </w:tcPr>
          <w:p>
            <w:r>
              <w:t>OCR API</w:t>
            </w:r>
          </w:p>
        </w:tc>
        <w:tc>
          <w:tcPr>
            <w:tcW w:type="dxa" w:w="2556"/>
          </w:tcPr>
          <w:p>
            <w:r>
              <w:t>Fallback document extraction</w:t>
            </w:r>
          </w:p>
        </w:tc>
        <w:tc>
          <w:tcPr>
            <w:tcW w:type="dxa" w:w="2556"/>
          </w:tcPr>
          <w:p>
            <w:r>
              <w:t>NO — initially</w:t>
            </w:r>
          </w:p>
        </w:tc>
        <w:tc>
          <w:tcPr>
            <w:tcW w:type="dxa" w:w="2556"/>
          </w:tcPr>
          <w:p>
            <w:r>
              <w:t>Prefer Regolo multimodal/document capability</w:t>
            </w:r>
          </w:p>
        </w:tc>
      </w:tr>
      <w:tr>
        <w:tc>
          <w:tcPr>
            <w:tcW w:type="dxa" w:w="2556"/>
          </w:tcPr>
          <w:p>
            <w:r>
              <w:t>Payments API</w:t>
            </w:r>
          </w:p>
        </w:tc>
        <w:tc>
          <w:tcPr>
            <w:tcW w:type="dxa" w:w="2556"/>
          </w:tcPr>
          <w:p>
            <w:r>
              <w:t>Billing</w:t>
            </w:r>
          </w:p>
        </w:tc>
        <w:tc>
          <w:tcPr>
            <w:tcW w:type="dxa" w:w="2556"/>
          </w:tcPr>
          <w:p>
            <w:r>
              <w:t>NO</w:t>
            </w:r>
          </w:p>
        </w:tc>
        <w:tc>
          <w:tcPr>
            <w:tcW w:type="dxa" w:w="2556"/>
          </w:tcPr>
          <w:p>
            <w:r>
              <w:t>Not needed for hackathon</w:t>
            </w:r>
          </w:p>
        </w:tc>
      </w:tr>
      <w:tr>
        <w:tc>
          <w:tcPr>
            <w:tcW w:type="dxa" w:w="2556"/>
          </w:tcPr>
          <w:p>
            <w:r>
              <w:t>Real airline/retailer APIs</w:t>
            </w:r>
          </w:p>
        </w:tc>
        <w:tc>
          <w:tcPr>
            <w:tcW w:type="dxa" w:w="2556"/>
          </w:tcPr>
          <w:p>
            <w:r>
              <w:t>Merchant actions</w:t>
            </w:r>
          </w:p>
        </w:tc>
        <w:tc>
          <w:tcPr>
            <w:tcW w:type="dxa" w:w="2556"/>
          </w:tcPr>
          <w:p>
            <w:r>
              <w:t>NO — hackathon</w:t>
            </w:r>
          </w:p>
        </w:tc>
        <w:tc>
          <w:tcPr>
            <w:tcW w:type="dxa" w:w="2556"/>
          </w:tcPr>
          <w:p>
            <w:r>
              <w:t>Use controlled provider simulators with real WebMCP state transitions</w:t>
            </w:r>
          </w:p>
        </w:tc>
      </w:tr>
      <w:tr>
        <w:tc>
          <w:tcPr>
            <w:tcW w:type="dxa" w:w="2556"/>
          </w:tcPr>
          <w:p>
            <w:r>
              <w:t>External analytics</w:t>
            </w:r>
          </w:p>
        </w:tc>
        <w:tc>
          <w:tcPr>
            <w:tcW w:type="dxa" w:w="2556"/>
          </w:tcPr>
          <w:p>
            <w:r>
              <w:t>Product analytics</w:t>
            </w:r>
          </w:p>
        </w:tc>
        <w:tc>
          <w:tcPr>
            <w:tcW w:type="dxa" w:w="2556"/>
          </w:tcPr>
          <w:p>
            <w:r>
              <w:t>NO — initially</w:t>
            </w:r>
          </w:p>
        </w:tc>
        <w:tc>
          <w:tcPr>
            <w:tcW w:type="dxa" w:w="2556"/>
          </w:tcPr>
          <w:p>
            <w:r>
              <w:t>Server-side event logging is enough</w:t>
            </w:r>
          </w:p>
        </w:tc>
      </w:tr>
    </w:tbl>
    <w:p>
      <w:pPr>
        <w:pStyle w:val="Heading1"/>
      </w:pPr>
      <w:r>
        <w:t>33. Environment variables</w:t>
      </w:r>
    </w:p>
    <w:p>
      <w:pPr>
        <w:ind w:left="360"/>
      </w:pPr>
      <w:r>
        <w:rPr>
          <w:rFonts w:ascii="Consolas" w:hAnsi="Consolas"/>
          <w:sz w:val="17"/>
        </w:rPr>
        <w:t># AI</w:t>
        <w:br/>
        <w:t>REGOLO_API_KEY=</w:t>
        <w:br/>
        <w:t>REGOLO_BASE_URL=</w:t>
        <w:br/>
        <w:t>REGOLO_MODEL=</w:t>
        <w:br/>
        <w:br/>
        <w:t># Database / Auth / Storage</w:t>
        <w:br/>
        <w:t>NEXT_PUBLIC_SUPABASE_URL=</w:t>
        <w:br/>
        <w:t>NEXT_PUBLIC_SUPABASE_ANON_KEY=</w:t>
        <w:br/>
        <w:t>SUPABASE_SERVICE_ROLE_KEY=</w:t>
        <w:br/>
        <w:br/>
        <w:t># Application</w:t>
        <w:br/>
        <w:t>NEXT_PUBLIC_APP_URL=</w:t>
        <w:br/>
        <w:t>APP_ENV=development</w:t>
        <w:br/>
        <w:br/>
        <w:t># Security</w:t>
        <w:br/>
        <w:t>ENCRYPTION_KEY=</w:t>
        <w:br/>
        <w:t>SESSION_SECRET=</w:t>
        <w:br/>
        <w:br/>
        <w:t># Optional future integrations</w:t>
        <w:br/>
        <w:t>EMAIL_API_KEY=</w:t>
        <w:br/>
        <w:t>OCR_API_KEY=</w:t>
      </w:r>
    </w:p>
    <w:p>
      <w:r>
        <w:rPr>
          <w:b w:val="0"/>
        </w:rPr>
        <w:t>Never commit secrets. Keep real keys in local environment variables or deployment secret management.</w:t>
      </w:r>
    </w:p>
    <w:p>
      <w:pPr>
        <w:pStyle w:val="Heading1"/>
      </w:pPr>
      <w:r>
        <w:t>34. API ownership map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Capability</w:t>
            </w:r>
          </w:p>
        </w:tc>
        <w:tc>
          <w:tcPr>
            <w:tcW w:type="dxa" w:w="3408"/>
          </w:tcPr>
          <w:p>
            <w:r>
              <w:rPr>
                <w:b/>
              </w:rPr>
              <w:t>Aegis owns</w:t>
            </w:r>
          </w:p>
        </w:tc>
        <w:tc>
          <w:tcPr>
            <w:tcW w:type="dxa" w:w="3408"/>
          </w:tcPr>
          <w:p>
            <w:r>
              <w:rPr>
                <w:b/>
              </w:rPr>
              <w:t>External system</w:t>
            </w:r>
          </w:p>
        </w:tc>
      </w:tr>
      <w:tr>
        <w:tc>
          <w:tcPr>
            <w:tcW w:type="dxa" w:w="3408"/>
          </w:tcPr>
          <w:p>
            <w:r>
              <w:t>AI inference</w:t>
            </w:r>
          </w:p>
        </w:tc>
        <w:tc>
          <w:tcPr>
            <w:tcW w:type="dxa" w:w="3408"/>
          </w:tcPr>
          <w:p>
            <w:r>
              <w:t>Prompting, orchestration, validation</w:t>
            </w:r>
          </w:p>
        </w:tc>
        <w:tc>
          <w:tcPr>
            <w:tcW w:type="dxa" w:w="3408"/>
          </w:tcPr>
          <w:p>
            <w:r>
              <w:t>Regolo</w:t>
            </w:r>
          </w:p>
        </w:tc>
      </w:tr>
      <w:tr>
        <w:tc>
          <w:tcPr>
            <w:tcW w:type="dxa" w:w="3408"/>
          </w:tcPr>
          <w:p>
            <w:r>
              <w:t>Case lifecycle</w:t>
            </w:r>
          </w:p>
        </w:tc>
        <w:tc>
          <w:tcPr>
            <w:tcW w:type="dxa" w:w="3408"/>
          </w:tcPr>
          <w:p>
            <w:r>
              <w:t>All state transitions</w:t>
            </w:r>
          </w:p>
        </w:tc>
        <w:tc>
          <w:tcPr>
            <w:tcW w:type="dxa" w:w="3408"/>
          </w:tcPr>
          <w:p>
            <w:r>
              <w:t>None</w:t>
            </w:r>
          </w:p>
        </w:tc>
      </w:tr>
      <w:tr>
        <w:tc>
          <w:tcPr>
            <w:tcW w:type="dxa" w:w="3408"/>
          </w:tcPr>
          <w:p>
            <w:r>
              <w:t>Evidence provenance</w:t>
            </w:r>
          </w:p>
        </w:tc>
        <w:tc>
          <w:tcPr>
            <w:tcW w:type="dxa" w:w="3408"/>
          </w:tcPr>
          <w:p>
            <w:r>
              <w:t>Evidence graph + source tracking</w:t>
            </w:r>
          </w:p>
        </w:tc>
        <w:tc>
          <w:tcPr>
            <w:tcW w:type="dxa" w:w="3408"/>
          </w:tcPr>
          <w:p>
            <w:r>
              <w:t>None</w:t>
            </w:r>
          </w:p>
        </w:tc>
      </w:tr>
      <w:tr>
        <w:tc>
          <w:tcPr>
            <w:tcW w:type="dxa" w:w="3408"/>
          </w:tcPr>
          <w:p>
            <w:r>
              <w:t>Eligibility</w:t>
            </w:r>
          </w:p>
        </w:tc>
        <w:tc>
          <w:tcPr>
            <w:tcW w:type="dxa" w:w="3408"/>
          </w:tcPr>
          <w:p>
            <w:r>
              <w:t>Rules + decision logic</w:t>
            </w:r>
          </w:p>
        </w:tc>
        <w:tc>
          <w:tcPr>
            <w:tcW w:type="dxa" w:w="3408"/>
          </w:tcPr>
          <w:p>
            <w:r>
              <w:t>Provider policy source</w:t>
            </w:r>
          </w:p>
        </w:tc>
      </w:tr>
      <w:tr>
        <w:tc>
          <w:tcPr>
            <w:tcW w:type="dxa" w:w="3408"/>
          </w:tcPr>
          <w:p>
            <w:r>
              <w:t>Permissions</w:t>
            </w:r>
          </w:p>
        </w:tc>
        <w:tc>
          <w:tcPr>
            <w:tcW w:type="dxa" w:w="3408"/>
          </w:tcPr>
          <w:p>
            <w:r>
              <w:t>Autonomy policy + approval</w:t>
            </w:r>
          </w:p>
        </w:tc>
        <w:tc>
          <w:tcPr>
            <w:tcW w:type="dxa" w:w="3408"/>
          </w:tcPr>
          <w:p>
            <w:r>
              <w:t>None</w:t>
            </w:r>
          </w:p>
        </w:tc>
      </w:tr>
      <w:tr>
        <w:tc>
          <w:tcPr>
            <w:tcW w:type="dxa" w:w="3408"/>
          </w:tcPr>
          <w:p>
            <w:r>
              <w:t>Tool discovery</w:t>
            </w:r>
          </w:p>
        </w:tc>
        <w:tc>
          <w:tcPr>
            <w:tcW w:type="dxa" w:w="3408"/>
          </w:tcPr>
          <w:p>
            <w:r>
              <w:t>WebMCP adapter + orchestration</w:t>
            </w:r>
          </w:p>
        </w:tc>
        <w:tc>
          <w:tcPr>
            <w:tcW w:type="dxa" w:w="3408"/>
          </w:tcPr>
          <w:p>
            <w:r>
              <w:t>Provider exposes tools</w:t>
            </w:r>
          </w:p>
        </w:tc>
      </w:tr>
      <w:tr>
        <w:tc>
          <w:tcPr>
            <w:tcW w:type="dxa" w:w="3408"/>
          </w:tcPr>
          <w:p>
            <w:r>
              <w:t>Claim submission</w:t>
            </w:r>
          </w:p>
        </w:tc>
        <w:tc>
          <w:tcPr>
            <w:tcW w:type="dxa" w:w="3408"/>
          </w:tcPr>
          <w:p>
            <w:r>
              <w:t>Permissioned request</w:t>
            </w:r>
          </w:p>
        </w:tc>
        <w:tc>
          <w:tcPr>
            <w:tcW w:type="dxa" w:w="3408"/>
          </w:tcPr>
          <w:p>
            <w:r>
              <w:t>Provider owns resulting state</w:t>
            </w:r>
          </w:p>
        </w:tc>
      </w:tr>
      <w:tr>
        <w:tc>
          <w:tcPr>
            <w:tcW w:type="dxa" w:w="3408"/>
          </w:tcPr>
          <w:p>
            <w:r>
              <w:t>Claim status</w:t>
            </w:r>
          </w:p>
        </w:tc>
        <w:tc>
          <w:tcPr>
            <w:tcW w:type="dxa" w:w="3408"/>
          </w:tcPr>
          <w:p>
            <w:r>
              <w:t>Case synchronization</w:t>
            </w:r>
          </w:p>
        </w:tc>
        <w:tc>
          <w:tcPr>
            <w:tcW w:type="dxa" w:w="3408"/>
          </w:tcPr>
          <w:p>
            <w:r>
              <w:t>Provider owns current status</w:t>
            </w:r>
          </w:p>
        </w:tc>
      </w:tr>
      <w:tr>
        <w:tc>
          <w:tcPr>
            <w:tcW w:type="dxa" w:w="3408"/>
          </w:tcPr>
          <w:p>
            <w:r>
              <w:t>Monitoring</w:t>
            </w:r>
          </w:p>
        </w:tc>
        <w:tc>
          <w:tcPr>
            <w:tcW w:type="dxa" w:w="3408"/>
          </w:tcPr>
          <w:p>
            <w:r>
              <w:t>Schedules/state interpretation</w:t>
            </w:r>
          </w:p>
        </w:tc>
        <w:tc>
          <w:tcPr>
            <w:tcW w:type="dxa" w:w="3408"/>
          </w:tcPr>
          <w:p>
            <w:r>
              <w:t>Provider supplies current state</w:t>
            </w:r>
          </w:p>
        </w:tc>
      </w:tr>
      <w:tr>
        <w:tc>
          <w:tcPr>
            <w:tcW w:type="dxa" w:w="3408"/>
          </w:tcPr>
          <w:p>
            <w:r>
              <w:t>Audit trail</w:t>
            </w:r>
          </w:p>
        </w:tc>
        <w:tc>
          <w:tcPr>
            <w:tcW w:type="dxa" w:w="3408"/>
          </w:tcPr>
          <w:p>
            <w:r>
              <w:t>Complete action log</w:t>
            </w:r>
          </w:p>
        </w:tc>
        <w:tc>
          <w:tcPr>
            <w:tcW w:type="dxa" w:w="3408"/>
          </w:tcPr>
          <w:p>
            <w:r>
              <w:t>None</w:t>
            </w:r>
          </w:p>
        </w:tc>
      </w:tr>
    </w:tbl>
    <w:p>
      <w:pPr>
        <w:pStyle w:val="Heading1"/>
      </w:pPr>
      <w:r>
        <w:t>35. API call budget strategy</w:t>
      </w:r>
    </w:p>
    <w:p>
      <w:pPr>
        <w:pStyle w:val="ListBullet"/>
      </w:pPr>
      <w:r>
        <w:t>Use Regolo only where ambiguity or multimodal understanding exists.</w:t>
      </w:r>
    </w:p>
    <w:p>
      <w:pPr>
        <w:pStyle w:val="ListBullet"/>
      </w:pPr>
      <w:r>
        <w:t>Cache extraction results by document hash.</w:t>
      </w:r>
    </w:p>
    <w:p>
      <w:pPr>
        <w:pStyle w:val="ListBullet"/>
      </w:pPr>
      <w:r>
        <w:t>Persist structured case facts so documents are not repeatedly processed.</w:t>
      </w:r>
    </w:p>
    <w:p>
      <w:pPr>
        <w:pStyle w:val="ListBullet"/>
      </w:pPr>
      <w:r>
        <w:t>Use deterministic code for calculations, thresholds, permissions, and state transitions.</w:t>
      </w:r>
    </w:p>
    <w:p>
      <w:pPr>
        <w:pStyle w:val="ListBullet"/>
      </w:pPr>
      <w:r>
        <w:t>Require structured JSON outputs from the AI gateway and validate them.</w:t>
      </w:r>
    </w:p>
    <w:p>
      <w:pPr>
        <w:pStyle w:val="ListBullet"/>
      </w:pPr>
      <w:r>
        <w:t>Never allow the LLM to mutate database state directly.</w:t>
      </w:r>
    </w:p>
    <w:p>
      <w:pPr>
        <w:pStyle w:val="ListBullet"/>
      </w:pPr>
      <w:r>
        <w:t>Use a mock AI adapter during UI development.</w:t>
      </w:r>
    </w:p>
    <w:p>
      <w:pPr>
        <w:pStyle w:val="ListBullet"/>
      </w:pPr>
      <w:r>
        <w:t>Use mock provider adapters for unit tests and live WebMCP only for integration/demo tests.</w:t>
      </w:r>
    </w:p>
    <w:p>
      <w:pPr>
        <w:pStyle w:val="Heading1"/>
      </w:pPr>
      <w:r>
        <w:t>36. Exact MVP dependency list</w:t>
      </w:r>
    </w:p>
    <w:p>
      <w:pPr>
        <w:pStyle w:val="ListNumber"/>
      </w:pPr>
      <w:r>
        <w:t>Regolo AI API key</w:t>
      </w:r>
    </w:p>
    <w:p>
      <w:pPr>
        <w:pStyle w:val="ListNumber"/>
      </w:pPr>
      <w:r>
        <w:t>Supabase project</w:t>
      </w:r>
    </w:p>
    <w:p>
      <w:pPr>
        <w:pStyle w:val="ListNumber"/>
      </w:pPr>
      <w:r>
        <w:t>Cloudflare deployment</w:t>
      </w:r>
    </w:p>
    <w:p>
      <w:pPr>
        <w:pStyle w:val="ListNumber"/>
      </w:pPr>
      <w:r>
        <w:t>GitHub repository</w:t>
      </w:r>
    </w:p>
    <w:p>
      <w:pPr>
        <w:pStyle w:val="ListNumber"/>
      </w:pPr>
      <w:r>
        <w:t>Browser/environment supporting the challenge WebMCP requirements</w:t>
      </w:r>
    </w:p>
    <w:p>
      <w:pPr>
        <w:pStyle w:val="ListNumber"/>
      </w:pPr>
      <w:r>
        <w:t>One controlled provider simulator with genuine WebMCP tools</w:t>
      </w:r>
    </w:p>
    <w:p>
      <w:pPr>
        <w:pStyle w:val="ListNumber"/>
      </w:pPr>
      <w:r>
        <w:t>No other paid API is required for the core hackathon product.</w:t>
      </w:r>
    </w:p>
    <w:p>
      <w:pPr>
        <w:pStyle w:val="Heading1"/>
      </w:pPr>
      <w:r>
        <w:t>37. Build order for APIs</w:t>
      </w:r>
    </w:p>
    <w:p>
      <w:pPr>
        <w:pStyle w:val="ListNumber"/>
      </w:pPr>
      <w:r>
        <w:t>Create Supabase project and migrations.</w:t>
      </w:r>
    </w:p>
    <w:p>
      <w:pPr>
        <w:pStyle w:val="ListNumber"/>
      </w:pPr>
      <w:r>
        <w:t>Create the Regolo AI gateway using the OpenAI-compatible interface.</w:t>
      </w:r>
    </w:p>
    <w:p>
      <w:pPr>
        <w:pStyle w:val="ListNumber"/>
      </w:pPr>
      <w:r>
        <w:t>Implement the deterministic case state machine.</w:t>
      </w:r>
    </w:p>
    <w:p>
      <w:pPr>
        <w:pStyle w:val="ListNumber"/>
      </w:pPr>
      <w:r>
        <w:t>Build the first provider simulator and WebMCP tools.</w:t>
      </w:r>
    </w:p>
    <w:p>
      <w:pPr>
        <w:pStyle w:val="ListNumber"/>
      </w:pPr>
      <w:r>
        <w:t>Connect the Aegis orchestrator to capability discovery.</w:t>
      </w:r>
    </w:p>
    <w:p>
      <w:pPr>
        <w:pStyle w:val="ListNumber"/>
      </w:pPr>
      <w:r>
        <w:t>Implement the permission engine before consequential actions.</w:t>
      </w:r>
    </w:p>
    <w:p>
      <w:pPr>
        <w:pStyle w:val="ListNumber"/>
      </w:pPr>
      <w:r>
        <w:t>Implement end-to-end claim submission and provider-side state change.</w:t>
      </w:r>
    </w:p>
    <w:p>
      <w:pPr>
        <w:pStyle w:val="ListNumber"/>
      </w:pPr>
      <w:r>
        <w:t>Add evidence ingestion and AI extraction.</w:t>
      </w:r>
    </w:p>
    <w:p>
      <w:pPr>
        <w:pStyle w:val="ListNumber"/>
      </w:pPr>
      <w:r>
        <w:t>Add policy and eligibility logic.</w:t>
      </w:r>
    </w:p>
    <w:p>
      <w:pPr>
        <w:pStyle w:val="ListNumber"/>
      </w:pPr>
      <w:r>
        <w:t>Add monitoring and follow-up.</w:t>
      </w:r>
    </w:p>
    <w:p>
      <w:pPr>
        <w:pStyle w:val="ListNumber"/>
      </w:pPr>
      <w:r>
        <w:t>Only then add provider simulators two and three.</w:t>
      </w:r>
    </w:p>
    <w:p>
      <w:pPr>
        <w:pStyle w:val="Heading1"/>
      </w:pPr>
      <w:r>
        <w:t>38. Cost target</w:t>
      </w:r>
    </w:p>
    <w:p>
      <w:r>
        <w:rPr>
          <w:b w:val="0"/>
        </w:rPr>
        <w:t>Hackathon target: €0 external spend. Use free tiers/trials where available, controlled provider simulators instead of paid merchant APIs, and the WebMCP/browser environment supplied by the challenge. Re-check third-party pricing and limits immediately before deployment because they can change.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