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8"/>
        </w:rPr>
        <w:t>Bank Customer Churn Analysis</w:t>
      </w:r>
    </w:p>
    <w:p>
      <w:pPr>
        <w:spacing w:after="40"/>
      </w:pPr>
      <w:r>
        <w:rPr>
          <w:b w:val="0"/>
          <w:sz w:val="26"/>
        </w:rPr>
        <w:t>Project report</w:t>
      </w:r>
    </w:p>
    <w:p>
      <w:pPr>
        <w:spacing w:after="280"/>
      </w:pPr>
      <w:r>
        <w:rPr>
          <w:b w:val="0"/>
          <w:sz w:val="20"/>
        </w:rPr>
        <w:t>Author: Lakshya Koranga   |   Tools: Excel, Python (pandas), Power BI, DAX</w:t>
      </w:r>
    </w:p>
    <w:p>
      <w:pPr>
        <w:pStyle w:val="Heading1"/>
      </w:pPr>
      <w:r>
        <w:t>1. Problem statement</w:t>
      </w:r>
    </w:p>
    <w:p>
      <w:pPr>
        <w:spacing w:after="120"/>
      </w:pPr>
      <w:r>
        <w:rPr>
          <w:b w:val="0"/>
        </w:rPr>
        <w:t>A bank loses revenue every time a customer closes their account. The Retention Team cannot contact every customer, so it needs to know which groups are most likely to leave. This project asks: which customer segments have the highest churn risk, so the team can target them first?</w:t>
      </w:r>
    </w:p>
    <w:p>
      <w:pPr>
        <w:pStyle w:val="Heading1"/>
      </w:pPr>
      <w:r>
        <w:t>2. Dataset</w:t>
      </w:r>
    </w:p>
    <w:p>
      <w:pPr>
        <w:spacing w:after="120"/>
      </w:pPr>
      <w:r>
        <w:rPr>
          <w:b w:val="0"/>
        </w:rPr>
        <w:t>The analysis uses the Kaggle Bank Customer Churn dataset, which has 10,000 customers. Each row is one customer. Key columns are Geography, Gender, Age, Tenure, Balance, NumOfProducts, IsActiveMember, Complain, Card Type, and Exited (1 = the customer left the bank, 0 = stayed). Churn rate is the share of customers with Exited = 1.</w:t>
      </w:r>
    </w:p>
    <w:p>
      <w:pPr>
        <w:pStyle w:val="Heading1"/>
      </w:pPr>
      <w:r>
        <w:t>3. Tools and approach</w:t>
      </w:r>
    </w:p>
    <w:p>
      <w:pPr>
        <w:pStyle w:val="ListBullet"/>
        <w:spacing w:after="40"/>
      </w:pPr>
      <w:r>
        <w:t>Excel: checked the data and built pivot tables for churn by country, age group, activity, number of products and tenure.</w:t>
      </w:r>
    </w:p>
    <w:p>
      <w:pPr>
        <w:pStyle w:val="ListBullet"/>
        <w:spacing w:after="40"/>
      </w:pPr>
      <w:r>
        <w:t>Python (pandas, Google Colab): repeated the analysis with groupby, created age bands, and isolated the highest-risk segment. The results matched Excel.</w:t>
      </w:r>
    </w:p>
    <w:p>
      <w:pPr>
        <w:pStyle w:val="ListBullet"/>
        <w:spacing w:after="40"/>
      </w:pPr>
      <w:r>
        <w:t>Power BI (in progress): DAX measures (Total Customers, Churned Customers, Churn Rate, High-Risk Churn) and an interactive dashboard with slicers, donut, bar and column charts.</w:t>
      </w:r>
    </w:p>
    <w:p>
      <w:pPr>
        <w:pStyle w:val="Heading1"/>
      </w:pPr>
      <w:r>
        <w:t>4. Findings</w:t>
      </w:r>
    </w:p>
    <w:tbl>
      <w:tblPr>
        <w:tblStyle w:val="TableGrid"/>
        <w:tblW w:type="auto" w:w="0"/>
        <w:tblLook w:firstColumn="1" w:firstRow="1" w:lastColumn="0" w:lastRow="0" w:noHBand="0" w:noVBand="1" w:val="04A0"/>
      </w:tblPr>
      <w:tblGrid>
        <w:gridCol w:w="4873"/>
        <w:gridCol w:w="4873"/>
      </w:tblGrid>
      <w:tr>
        <w:tc>
          <w:tcPr>
            <w:tcW w:type="dxa" w:w="2835"/>
            <w:shd w:val="clear" w:color="auto" w:fill="0B2540"/>
          </w:tcPr>
          <w:p>
            <w:r/>
            <w:r>
              <w:rPr>
                <w:b/>
                <w:color w:val="FFFFFF"/>
                <w:sz w:val="20"/>
              </w:rPr>
              <w:t>Question</w:t>
            </w:r>
          </w:p>
        </w:tc>
        <w:tc>
          <w:tcPr>
            <w:tcW w:type="dxa" w:w="6463"/>
            <w:shd w:val="clear" w:color="auto" w:fill="0B2540"/>
          </w:tcPr>
          <w:p>
            <w:r/>
            <w:r>
              <w:rPr>
                <w:b/>
                <w:color w:val="FFFFFF"/>
                <w:sz w:val="20"/>
              </w:rPr>
              <w:t>Result</w:t>
            </w:r>
          </w:p>
        </w:tc>
      </w:tr>
      <w:tr>
        <w:tc>
          <w:tcPr>
            <w:tcW w:type="dxa" w:w="2835"/>
          </w:tcPr>
          <w:p>
            <w:r/>
            <w:r>
              <w:rPr>
                <w:sz w:val="20"/>
              </w:rPr>
              <w:t>Overall churn rate</w:t>
            </w:r>
          </w:p>
        </w:tc>
        <w:tc>
          <w:tcPr>
            <w:tcW w:type="dxa" w:w="6463"/>
          </w:tcPr>
          <w:p>
            <w:r/>
            <w:r>
              <w:rPr>
                <w:sz w:val="20"/>
              </w:rPr>
              <w:t>20.4% (2,038 of 10,000 customers)</w:t>
            </w:r>
          </w:p>
        </w:tc>
      </w:tr>
      <w:tr>
        <w:tc>
          <w:tcPr>
            <w:tcW w:type="dxa" w:w="2835"/>
          </w:tcPr>
          <w:p>
            <w:r/>
            <w:r>
              <w:rPr>
                <w:sz w:val="20"/>
              </w:rPr>
              <w:t>By country</w:t>
            </w:r>
          </w:p>
        </w:tc>
        <w:tc>
          <w:tcPr>
            <w:tcW w:type="dxa" w:w="6463"/>
          </w:tcPr>
          <w:p>
            <w:r/>
            <w:r>
              <w:rPr>
                <w:sz w:val="20"/>
              </w:rPr>
              <w:t>Germany 32.4%, Spain 16.7%, France 16.2%</w:t>
            </w:r>
          </w:p>
        </w:tc>
      </w:tr>
      <w:tr>
        <w:tc>
          <w:tcPr>
            <w:tcW w:type="dxa" w:w="2835"/>
          </w:tcPr>
          <w:p>
            <w:r/>
            <w:r>
              <w:rPr>
                <w:sz w:val="20"/>
              </w:rPr>
              <w:t>By age group</w:t>
            </w:r>
          </w:p>
        </w:tc>
        <w:tc>
          <w:tcPr>
            <w:tcW w:type="dxa" w:w="6463"/>
          </w:tcPr>
          <w:p>
            <w:r/>
            <w:r>
              <w:rPr>
                <w:sz w:val="20"/>
              </w:rPr>
              <w:t>18-27: 7.2%, 28-37: 9.6%, 38-47: 24.6%, 48-57: 55.3%, 58-67: 39.5%, 68+: 12.0%</w:t>
            </w:r>
          </w:p>
        </w:tc>
      </w:tr>
      <w:tr>
        <w:tc>
          <w:tcPr>
            <w:tcW w:type="dxa" w:w="2835"/>
          </w:tcPr>
          <w:p>
            <w:r/>
            <w:r>
              <w:rPr>
                <w:sz w:val="20"/>
              </w:rPr>
              <w:t>By gender</w:t>
            </w:r>
          </w:p>
        </w:tc>
        <w:tc>
          <w:tcPr>
            <w:tcW w:type="dxa" w:w="6463"/>
          </w:tcPr>
          <w:p>
            <w:r/>
            <w:r>
              <w:rPr>
                <w:sz w:val="20"/>
              </w:rPr>
              <w:t>Female 25.1%, male 16.5%</w:t>
            </w:r>
          </w:p>
        </w:tc>
      </w:tr>
      <w:tr>
        <w:tc>
          <w:tcPr>
            <w:tcW w:type="dxa" w:w="2835"/>
          </w:tcPr>
          <w:p>
            <w:r/>
            <w:r>
              <w:rPr>
                <w:sz w:val="20"/>
              </w:rPr>
              <w:t>By activity</w:t>
            </w:r>
          </w:p>
        </w:tc>
        <w:tc>
          <w:tcPr>
            <w:tcW w:type="dxa" w:w="6463"/>
          </w:tcPr>
          <w:p>
            <w:r/>
            <w:r>
              <w:rPr>
                <w:sz w:val="20"/>
              </w:rPr>
              <w:t>Inactive members 27%, active members 14%</w:t>
            </w:r>
          </w:p>
        </w:tc>
      </w:tr>
      <w:tr>
        <w:tc>
          <w:tcPr>
            <w:tcW w:type="dxa" w:w="2835"/>
          </w:tcPr>
          <w:p>
            <w:r/>
            <w:r>
              <w:rPr>
                <w:sz w:val="20"/>
              </w:rPr>
              <w:t>By number of products</w:t>
            </w:r>
          </w:p>
        </w:tc>
        <w:tc>
          <w:tcPr>
            <w:tcW w:type="dxa" w:w="6463"/>
          </w:tcPr>
          <w:p>
            <w:r/>
            <w:r>
              <w:rPr>
                <w:sz w:val="20"/>
              </w:rPr>
              <w:t>1 product 27.7%, 2 products 7.6%, 3 products 82.7%, 4 products 100%</w:t>
            </w:r>
          </w:p>
        </w:tc>
      </w:tr>
      <w:tr>
        <w:tc>
          <w:tcPr>
            <w:tcW w:type="dxa" w:w="2835"/>
          </w:tcPr>
          <w:p>
            <w:r/>
            <w:r>
              <w:rPr>
                <w:sz w:val="20"/>
              </w:rPr>
              <w:t>By tenure</w:t>
            </w:r>
          </w:p>
        </w:tc>
        <w:tc>
          <w:tcPr>
            <w:tcW w:type="dxa" w:w="6463"/>
          </w:tcPr>
          <w:p>
            <w:r/>
            <w:r>
              <w:rPr>
                <w:sz w:val="20"/>
              </w:rPr>
              <w:t>Between 17% and 23% in every year, with no clear pattern</w:t>
            </w:r>
          </w:p>
        </w:tc>
      </w:tr>
      <w:tr>
        <w:tc>
          <w:tcPr>
            <w:tcW w:type="dxa" w:w="2835"/>
          </w:tcPr>
          <w:p>
            <w:r/>
            <w:r>
              <w:rPr>
                <w:sz w:val="20"/>
              </w:rPr>
              <w:t>Highest-risk segment</w:t>
            </w:r>
          </w:p>
        </w:tc>
        <w:tc>
          <w:tcPr>
            <w:tcW w:type="dxa" w:w="6463"/>
          </w:tcPr>
          <w:p>
            <w:r/>
            <w:r>
              <w:rPr>
                <w:sz w:val="20"/>
              </w:rPr>
              <w:t>Inactive customers in Germany aged 48-67: 238 customers, 83.6% churn</w:t>
            </w:r>
          </w:p>
        </w:tc>
      </w:tr>
    </w:tbl>
    <w:p>
      <w:pPr>
        <w:spacing w:after="40"/>
      </w:pPr>
    </w:p>
    <w:p>
      <w:pPr>
        <w:pStyle w:val="ListBullet"/>
        <w:spacing w:after="40"/>
      </w:pPr>
      <w:r>
        <w:t>Germany loses about twice as many customers as France or Spain.</w:t>
      </w:r>
    </w:p>
    <w:p>
      <w:pPr>
        <w:pStyle w:val="ListBullet"/>
        <w:spacing w:after="40"/>
      </w:pPr>
      <w:r>
        <w:t>Customers aged 48-67 are the main risk group, and customers under 38 rarely leave.</w:t>
      </w:r>
    </w:p>
    <w:p>
      <w:pPr>
        <w:pStyle w:val="ListBullet"/>
        <w:spacing w:after="40"/>
      </w:pPr>
      <w:r>
        <w:t>Inactive customers leave almost twice as often as active customers.</w:t>
      </w:r>
    </w:p>
    <w:p>
      <w:pPr>
        <w:pStyle w:val="ListBullet"/>
        <w:spacing w:after="40"/>
      </w:pPr>
      <w:r>
        <w:t>Customers with 2 products are the most loyal. Customers with 3 or 4 products leave very often, but these groups are small (266 and 60 customers).</w:t>
      </w:r>
    </w:p>
    <w:p>
      <w:pPr>
        <w:pStyle w:val="ListBullet"/>
        <w:spacing w:after="40"/>
      </w:pPr>
      <w:r>
        <w:t>Years with the bank do not predict churn, so tenure should not be used to target customers.</w:t>
      </w:r>
    </w:p>
    <w:p>
      <w:pPr>
        <w:pStyle w:val="Heading1"/>
      </w:pPr>
      <w:r>
        <w:t>5. Recommendation</w:t>
      </w:r>
    </w:p>
    <w:p>
      <w:pPr>
        <w:spacing w:after="120"/>
      </w:pPr>
      <w:r>
        <w:rPr>
          <w:b w:val="0"/>
        </w:rPr>
        <w:t>Contact inactive customers aged 48-67 in Germany first. This group is only 238 customers (about 2% of the bank) but 83.6% of them left, against 20.4% overall. Offer a re-activation campaign for inactive members, and review why customers holding 3 or more products leave.</w:t>
      </w:r>
    </w:p>
    <w:p>
      <w:pPr>
        <w:pStyle w:val="Heading1"/>
      </w:pPr>
      <w:r>
        <w:t>6. Limitations</w:t>
      </w:r>
    </w:p>
    <w:p>
      <w:pPr>
        <w:pStyle w:val="ListBullet"/>
        <w:spacing w:after="40"/>
      </w:pPr>
      <w:r>
        <w:t>Complain is almost perfectly linked to churn (99.5% of customers who complained left, against 0.05% of those who did not). This suggests the complaint was recorded when the customer was already leaving, so it was treated as an outcome and not as a cause.</w:t>
      </w:r>
    </w:p>
    <w:p>
      <w:pPr>
        <w:pStyle w:val="ListBullet"/>
        <w:spacing w:after="40"/>
      </w:pPr>
      <w:r>
        <w:t>The dataset has no dates, so the analysis shows who is at risk, not when they leave. With transaction dates, the next step would be an early-warning model.</w:t>
      </w:r>
    </w:p>
    <w:p>
      <w:pPr>
        <w:pStyle w:val="ListBullet"/>
        <w:spacing w:after="40"/>
      </w:pPr>
      <w:r>
        <w:t>The 3-product and 4-product groups are small samples, so their churn rates should be checked with more data.</w:t>
      </w:r>
    </w:p>
    <w:p>
      <w:pPr>
        <w:pStyle w:val="Heading1"/>
      </w:pPr>
      <w:r>
        <w:t>7. Conclusion</w:t>
      </w:r>
    </w:p>
    <w:p>
      <w:pPr>
        <w:spacing w:after="120"/>
      </w:pPr>
      <w:r>
        <w:rPr>
          <w:b w:val="0"/>
        </w:rPr>
        <w:t>Churn in this bank is concentrated in a small group of customers: older, inactive customers in Germany. Targeting this group first gives the Retention Team the largest effect for the least effort.</w:t>
      </w:r>
    </w:p>
    <w:p>
      <w:pPr>
        <w:pStyle w:val="Heading1"/>
      </w:pPr>
      <w:r>
        <w:t>8. Files in this project</w:t>
      </w:r>
    </w:p>
    <w:p>
      <w:pPr>
        <w:pStyle w:val="ListBullet"/>
        <w:spacing w:after="40"/>
      </w:pPr>
      <w:r>
        <w:t>LakshyaKoranga_BankChurnAnalysis.py: the Python analysis script</w:t>
      </w:r>
    </w:p>
    <w:p>
      <w:pPr>
        <w:pStyle w:val="ListBullet"/>
        <w:spacing w:after="40"/>
      </w:pPr>
      <w:r>
        <w:t>excel/bank_churn_analysis.xlsx: Excel pivot tables, chart and findings</w:t>
      </w:r>
    </w:p>
    <w:p>
      <w:pPr>
        <w:pStyle w:val="ListBullet"/>
        <w:spacing w:after="40"/>
      </w:pPr>
      <w:r>
        <w:t>README.md: project summary and how to run the script</w:t>
      </w:r>
    </w:p>
    <w:p>
      <w:pPr>
        <w:pStyle w:val="ListBullet"/>
        <w:spacing w:after="40"/>
      </w:pPr>
      <w:r>
        <w:t>requirements.txt: Python libraries needed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5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