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line="360" w:lineRule="auto" w:after="200"/>
      </w:pPr>
      <w:r>
        <w:rPr>
          <w:rFonts w:ascii="Times New Roman" w:hAnsi="Times New Roman"/>
          <w:sz w:val="32"/>
          <w:szCs w:val="32"/>
          <w:b/>
          <w:bCs/>
          <w:u w:val="single"/>
        </w:rPr>
        <w:t xml:space="preserve">LIST OF FIGURES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22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Figure No.</w:t>
            </w:r>
          </w:p>
        </w:tc>
        <w:tc>
          <w:tcPr>
            <w:tcW w:w="56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Figure Name</w:t>
            </w:r>
          </w:p>
        </w:tc>
        <w:tc>
          <w:tcPr>
            <w:tcW w:w="16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Page No.</w:t>
            </w:r>
          </w:p>
        </w:tc>
      </w:tr>
      <w:tr>
        <w:tc>
          <w:tcPr>
            <w:tcW w:w="2200" w:type="dxa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Figure 3.1</w:t>
            </w:r>
          </w:p>
        </w:tc>
        <w:tc>
          <w:tcPr>
            <w:tcW w:w="56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High-Level System Architecture of Vaulty</w:t>
            </w:r>
          </w:p>
        </w:tc>
        <w:tc>
          <w:tcPr>
            <w:tcW w:w="16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15</w:t>
            </w:r>
          </w:p>
        </w:tc>
      </w:tr>
      <w:tr>
        <w:tc>
          <w:tcPr>
            <w:tcW w:w="2200" w:type="dxa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Figure 3.2</w:t>
            </w:r>
          </w:p>
        </w:tc>
        <w:tc>
          <w:tcPr>
            <w:tcW w:w="56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3-Tier Layered Architecture Flowchart</w:t>
            </w:r>
          </w:p>
        </w:tc>
        <w:tc>
          <w:tcPr>
            <w:tcW w:w="16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15</w:t>
            </w:r>
          </w:p>
        </w:tc>
      </w:tr>
      <w:tr>
        <w:tc>
          <w:tcPr>
            <w:tcW w:w="2200" w:type="dxa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Figure 3.3</w:t>
            </w:r>
          </w:p>
        </w:tc>
        <w:tc>
          <w:tcPr>
            <w:tcW w:w="56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Context-Level Data Flow Diagram (DFD Level 0 &amp; Level 1)</w:t>
            </w:r>
          </w:p>
        </w:tc>
        <w:tc>
          <w:tcPr>
            <w:tcW w:w="16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16</w:t>
            </w:r>
          </w:p>
        </w:tc>
      </w:tr>
      <w:tr>
        <w:tc>
          <w:tcPr>
            <w:tcW w:w="2200" w:type="dxa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Figure 5.1</w:t>
            </w:r>
          </w:p>
        </w:tc>
        <w:tc>
          <w:tcPr>
            <w:tcW w:w="56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Vaulty Main Dashboard (Bento Grid Layout)</w:t>
            </w:r>
          </w:p>
        </w:tc>
        <w:tc>
          <w:tcPr>
            <w:tcW w:w="16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21</w:t>
            </w:r>
          </w:p>
        </w:tc>
      </w:tr>
      <w:tr>
        <w:tc>
          <w:tcPr>
            <w:tcW w:w="2200" w:type="dxa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Figure 5.2</w:t>
            </w:r>
          </w:p>
        </w:tc>
        <w:tc>
          <w:tcPr>
            <w:tcW w:w="56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Sub Vault Interface (Search, Filter Pills &amp; Table View)</w:t>
            </w:r>
          </w:p>
        </w:tc>
        <w:tc>
          <w:tcPr>
            <w:tcW w:w="16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22</w:t>
            </w:r>
          </w:p>
        </w:tc>
      </w:tr>
      <w:tr>
        <w:tc>
          <w:tcPr>
            <w:tcW w:w="2200" w:type="dxa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Figure 5.3</w:t>
            </w:r>
          </w:p>
        </w:tc>
        <w:tc>
          <w:tcPr>
            <w:tcW w:w="56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Subscription Creation Modal with Quick Brand Presets</w:t>
            </w:r>
          </w:p>
        </w:tc>
        <w:tc>
          <w:tcPr>
            <w:tcW w:w="16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22</w:t>
            </w:r>
          </w:p>
        </w:tc>
      </w:tr>
      <w:tr>
        <w:tc>
          <w:tcPr>
            <w:tcW w:w="2200" w:type="dxa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Figure 5.4</w:t>
            </w:r>
          </w:p>
        </w:tc>
        <w:tc>
          <w:tcPr>
            <w:tcW w:w="56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Bleed Radar &amp; Expense Intelligence Interface</w:t>
            </w:r>
          </w:p>
        </w:tc>
        <w:tc>
          <w:tcPr>
            <w:tcW w:w="16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23</w:t>
            </w:r>
          </w:p>
        </w:tc>
      </w:tr>
      <w:tr>
        <w:tc>
          <w:tcPr>
            <w:tcW w:w="2200" w:type="dxa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Figure 6.1</w:t>
            </w:r>
          </w:p>
        </w:tc>
        <w:tc>
          <w:tcPr>
            <w:tcW w:w="56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Entity-Relationship (ER) Diagram of the Database</w:t>
            </w:r>
          </w:p>
        </w:tc>
        <w:tc>
          <w:tcPr>
            <w:tcW w:w="16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24</w:t>
            </w:r>
          </w:p>
        </w:tc>
      </w:tr>
      <w:tr>
        <w:tc>
          <w:tcPr>
            <w:tcW w:w="2200" w:type="dxa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Figure 7.1</w:t>
            </w:r>
          </w:p>
        </w:tc>
        <w:tc>
          <w:tcPr>
            <w:tcW w:w="56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Monthly Spend Trajectory (Burn Rate Flow Area Chart)</w:t>
            </w:r>
          </w:p>
        </w:tc>
        <w:tc>
          <w:tcPr>
            <w:tcW w:w="16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26</w:t>
            </w:r>
          </w:p>
        </w:tc>
      </w:tr>
      <w:tr>
        <w:tc>
          <w:tcPr>
            <w:tcW w:w="2200" w:type="dxa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Figure 7.2</w:t>
            </w:r>
          </w:p>
        </w:tc>
        <w:tc>
          <w:tcPr>
            <w:tcW w:w="56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Category Spend Distribution (Donut Chart Visualization)</w:t>
            </w:r>
          </w:p>
        </w:tc>
        <w:tc>
          <w:tcPr>
            <w:tcW w:w="16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27</w:t>
            </w:r>
          </w:p>
        </w:tc>
      </w:tr>
    </w:tbl>
    <w:p>
      <w:pPr>
        <w:spacing w:after="120"/>
      </w:pP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8</w:t>
      </w:r>
    </w:p>
    <w:sectPr>
      <w:pgSz w:w="11906" w:h="16838"/>
      <w:pgMar w:top="1134" w:right="1134" w:bottom="1134" w:left="1134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4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
  
</Relationships>
</file>

<file path=docProps/core.xml><?xml version="1.0" encoding="utf-8"?>
<cp:coreProperties xmlns:cp="http://schemas.openxmlformats.org/package/2006/metadata/core-properties" xmlns:dc="http://purl.org/dc/elements/1.1/">
  <dc:title>VAULTY Minor Project Report (BCA-508)</dc:title>
  <dc:creator>Lakshya Singh</dc:creator>
</cp:coreProperties>
</file>