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360" w:lineRule="auto" w:after="200"/>
      </w:pPr>
      <w:r>
        <w:rPr>
          <w:rFonts w:ascii="Times New Roman" w:hAnsi="Times New Roman"/>
          <w:sz w:val="32"/>
          <w:szCs w:val="32"/>
          <w:b/>
          <w:bCs/>
          <w:u w:val="single"/>
        </w:rPr>
        <w:t xml:space="preserve">CHAPTER 1: INTRODUCTION</w:t>
      </w:r>
    </w:p>
    <w:p>
      <w:pPr>
        <w:jc w:val="both"/>
        <w:spacing w:line="360" w:lineRule="auto" w:after="100"/>
      </w:pPr>
      <w:r>
        <w:rPr>
          <w:rFonts w:ascii="Times New Roman" w:hAnsi="Times New Roman"/>
          <w:sz w:val="26"/>
          <w:szCs w:val="26"/>
          <w:b/>
          <w:bCs/>
        </w:rPr>
        <w:t xml:space="preserve">1.1 Introduction</w:t>
      </w:r>
    </w:p>
    <w:p>
      <w:pPr>
        <w:jc w:val="both"/>
        <w:spacing w:line="360" w:lineRule="auto" w:after="140"/>
        <w:ind w:firstLine="480"/>
      </w:pPr>
      <w:r>
        <w:rPr>
          <w:rFonts w:ascii="Times New Roman" w:hAnsi="Times New Roman"/>
          <w:sz w:val="24"/>
          <w:szCs w:val="24"/>
        </w:rPr>
        <w:t xml:space="preserve">In recent years, the digital economy has witnessed an unprecedented transformation from one-time asset ownership to recurring, service-based subscription models. Consumers, particularly college students, young professionals, and digital-first individuals, regularly subscribe to multiple online services across digital entertainment (e.g., Netflix, Spotify, Prime Video), cloud productivity (e.g., Google One, iCloud), artificial intelligence tools (e.g., ChatGPT Plus, Claude Pro), and health and lifestyle platforms (e.g., Cult.fit).</w:t>
      </w:r>
    </w:p>
    <w:p>
      <w:pPr>
        <w:jc w:val="both"/>
        <w:spacing w:line="360" w:lineRule="auto" w:after="140"/>
        <w:ind w:firstLine="480"/>
      </w:pPr>
      <w:r>
        <w:rPr>
          <w:rFonts w:ascii="Times New Roman" w:hAnsi="Times New Roman"/>
          <w:sz w:val="24"/>
          <w:szCs w:val="24"/>
        </w:rPr>
        <w:t xml:space="preserve">While subscriptions offer continuous access to software and media without large upfront capital, they create a significant personal finance challenge known as "subscription bleed." Because recurring debits occur automatically via Unified Payments Interface (UPI) autopay mandates, credit cards, or net banking, individuals frequently lose visibility over the total amount deducted on a monthly or annual basis. Furthermore, users frequently enroll in promotional zero-cost trial periods that automatically convert to costly recurring plans without explicit pre-debit confirmations.</w:t>
      </w:r>
    </w:p>
    <w:p>
      <w:pPr>
        <w:jc w:val="both"/>
        <w:spacing w:line="360" w:lineRule="auto" w:after="160"/>
        <w:ind w:firstLine="480"/>
      </w:pPr>
      <w:r>
        <w:rPr>
          <w:rFonts w:ascii="Times New Roman" w:hAnsi="Times New Roman"/>
          <w:sz w:val="24"/>
          <w:szCs w:val="24"/>
        </w:rPr>
        <w:t xml:space="preserve">Vaulty is developed as a focused, lightweight, and intelligent personal subscription tracking and renewal management web application. Designed specifically to solve this problem, Vaulty aggregates all recurring liabilities onto a unified dashboard, normalizes varying billing cycles into a clear monthly "burn rate," detects neglected or unused subscriptions ("zombie subscriptions"), and provides an interactive radar to alert users before promotional trials convert into unwanted debits.</w:t>
      </w:r>
    </w:p>
    <w:p>
      <w:pPr>
        <w:jc w:val="both"/>
        <w:spacing w:line="360" w:lineRule="auto" w:after="100"/>
      </w:pPr>
      <w:r>
        <w:rPr>
          <w:rFonts w:ascii="Times New Roman" w:hAnsi="Times New Roman"/>
          <w:sz w:val="26"/>
          <w:szCs w:val="26"/>
          <w:b/>
          <w:bCs/>
        </w:rPr>
        <w:t xml:space="preserve">1.2 Advantage</w:t>
      </w:r>
    </w:p>
    <w:p>
      <w:pPr>
        <w:jc w:val="both"/>
        <w:spacing w:line="360" w:lineRule="auto" w:after="100"/>
      </w:pPr>
      <w:r>
        <w:rPr>
          <w:rFonts w:ascii="Times New Roman" w:hAnsi="Times New Roman"/>
          <w:sz w:val="24"/>
          <w:szCs w:val="24"/>
        </w:rPr>
        <w:t xml:space="preserve">The Vaulty platform provides several distinct practical and technical advantages over traditional personal finance management methods such as generic spreadsheets or manual diary entries:</w:t>
      </w:r>
    </w:p>
    <w:p>
      <w:pPr>
        <w:jc w:val="both"/>
        <w:spacing w:line="360" w:lineRule="auto" w:after="80"/>
        <w:ind w:firstLine="240"/>
      </w:pPr>
      <w:r>
        <w:rPr>
          <w:rFonts w:ascii="Times New Roman" w:hAnsi="Times New Roman"/>
          <w:sz w:val="24"/>
          <w:szCs w:val="24"/>
        </w:rPr>
        <w:t xml:space="preserve">• Normalized Spend Metrics: Different services bill along varied periodic intervals—weekly, monthly, quarterly, and annually. Vaulty automatically normalizes all payment intervals into a standard Monthly Wallet Bleed figure using verified mathematical formulas.</w:t>
      </w:r>
    </w:p>
    <w:p>
      <w:pPr>
        <w:jc w:val="both"/>
        <w:spacing w:line="360" w:lineRule="auto" w:after="80"/>
        <w:ind w:firstLine="240"/>
      </w:pPr>
      <w:r>
        <w:rPr>
          <w:rFonts w:ascii="Times New Roman" w:hAnsi="Times New Roman"/>
          <w:sz w:val="24"/>
          <w:szCs w:val="24"/>
        </w:rPr>
        <w:t xml:space="preserve">• Automated Zombie Detection: The system continuously monitors user activity intervals. Active subscriptions that have not recorded usage for over 30 days are automatically flagged as "zombies," highlighting immediate potential monthly savings.</w:t>
      </w:r>
    </w:p>
    <w:p>
      <w:pPr>
        <w:jc w:val="both"/>
        <w:spacing w:line="360" w:lineRule="auto" w:after="80"/>
        <w:ind w:firstLine="240"/>
      </w:pPr>
      <w:r>
        <w:rPr>
          <w:rFonts w:ascii="Times New Roman" w:hAnsi="Times New Roman"/>
          <w:sz w:val="24"/>
          <w:szCs w:val="24"/>
        </w:rPr>
        <w:t xml:space="preserve">• Trial Trap Radar: Promotional free trials are tracked with strict countdown timers. Critical alerts trigger within 48 hours of trial expiry, allowing users to make an informed cancellation decision before auto-debit occurs.</w:t>
      </w:r>
    </w:p>
    <w:p>
      <w:pPr>
        <w:jc w:val="both"/>
        <w:spacing w:line="360" w:lineRule="auto" w:after="80"/>
        <w:ind w:firstLine="240"/>
      </w:pPr>
      <w:r>
        <w:rPr>
          <w:rFonts w:ascii="Times New Roman" w:hAnsi="Times New Roman"/>
          <w:sz w:val="24"/>
          <w:szCs w:val="24"/>
        </w:rPr>
        <w:t xml:space="preserve">• Zero Bank Credential Exposure: Unlike aggressive financial aggregators that demand bank credentials or SMS read permissions, Vaulty is built on a privacy-first model where the user retains complete control over their recorded financial profiles.</w:t>
      </w:r>
    </w:p>
    <w:p>
      <w:pPr>
        <w:jc w:val="both"/>
        <w:spacing w:line="360" w:lineRule="auto" w:after="160"/>
        <w:ind w:firstLine="240"/>
      </w:pPr>
      <w:r>
        <w:rPr>
          <w:rFonts w:ascii="Times New Roman" w:hAnsi="Times New Roman"/>
          <w:sz w:val="24"/>
          <w:szCs w:val="24"/>
        </w:rPr>
        <w:t xml:space="preserve">• Dual Persistence Mode: Vaulty features a robust repository architecture that supports both cloud-synced persistent storage (Supabase PostgreSQL with Row Level Security) and an offline-first browser demonstration mode using localStorage.</w:t>
      </w:r>
    </w:p>
    <w:p>
      <w:pPr>
        <w:jc w:val="center"/>
        <w:spacing w:line="240" w:lineRule="auto" w:after="80"/>
      </w:pPr>
      <w:r>
        <w:rPr>
          <w:rFonts w:ascii="Times New Roman" w:hAnsi="Times New Roman"/>
          <w:sz w:val="22"/>
          <w:szCs w:val="22"/>
          <w:b/>
          <w:bCs/>
        </w:rPr>
        <w:t xml:space="preserve">9</w:t>
      </w:r>
    </w:p>
    <w:p>
      <w:pPr>
        <w:spacing w:after="0"/>
      </w:pPr>
      <w:r>
        <w:br w:type="page"/>
      </w:r>
    </w:p>
    <w:p>
      <w:pPr>
        <w:jc w:val="both"/>
        <w:spacing w:line="360" w:lineRule="auto" w:after="100"/>
      </w:pPr>
      <w:r>
        <w:rPr>
          <w:rFonts w:ascii="Times New Roman" w:hAnsi="Times New Roman"/>
          <w:sz w:val="26"/>
          <w:szCs w:val="26"/>
          <w:b/>
          <w:bCs/>
        </w:rPr>
        <w:t xml:space="preserve">1.3 Objectives of the Project</w:t>
      </w:r>
    </w:p>
    <w:p>
      <w:pPr>
        <w:jc w:val="both"/>
        <w:spacing w:line="360" w:lineRule="auto" w:after="100"/>
      </w:pPr>
      <w:r>
        <w:rPr>
          <w:rFonts w:ascii="Times New Roman" w:hAnsi="Times New Roman"/>
          <w:sz w:val="24"/>
          <w:szCs w:val="24"/>
        </w:rPr>
        <w:t xml:space="preserve">The primary academic and engineering objectives accomplished during the development of Vaulty include:</w:t>
      </w:r>
    </w:p>
    <w:p>
      <w:pPr>
        <w:jc w:val="both"/>
        <w:spacing w:line="360" w:lineRule="auto" w:after="80"/>
        <w:ind w:firstLine="240"/>
      </w:pPr>
      <w:r>
        <w:rPr>
          <w:rFonts w:ascii="Times New Roman" w:hAnsi="Times New Roman"/>
          <w:sz w:val="24"/>
          <w:szCs w:val="24"/>
        </w:rPr>
        <w:t xml:space="preserve">• Designing and implementing a responsive, single-page application dashboard using modern web standards (Next.js 14 App Router, TypeScript, and Tailwind CSS).</w:t>
      </w:r>
    </w:p>
    <w:p>
      <w:pPr>
        <w:jc w:val="both"/>
        <w:spacing w:line="360" w:lineRule="auto" w:after="80"/>
        <w:ind w:firstLine="240"/>
      </w:pPr>
      <w:r>
        <w:rPr>
          <w:rFonts w:ascii="Times New Roman" w:hAnsi="Times New Roman"/>
          <w:sz w:val="24"/>
          <w:szCs w:val="24"/>
        </w:rPr>
        <w:t xml:space="preserve">• Engineering a pure mathematical calculation engine (lib/calc.ts) that precisely calculates normalized monthly costs, multi-month expenditure trajectories, and annual projections.</w:t>
      </w:r>
    </w:p>
    <w:p>
      <w:pPr>
        <w:jc w:val="both"/>
        <w:spacing w:line="360" w:lineRule="auto" w:after="80"/>
        <w:ind w:firstLine="240"/>
      </w:pPr>
      <w:r>
        <w:rPr>
          <w:rFonts w:ascii="Times New Roman" w:hAnsi="Times New Roman"/>
          <w:sz w:val="24"/>
          <w:szCs w:val="24"/>
        </w:rPr>
        <w:t xml:space="preserve">• Implementing automated, non-invasive alert generation logic to notify users of impending renewal dates and expiring free trials.</w:t>
      </w:r>
    </w:p>
    <w:p>
      <w:pPr>
        <w:jc w:val="both"/>
        <w:spacing w:line="360" w:lineRule="auto" w:after="80"/>
        <w:ind w:firstLine="240"/>
      </w:pPr>
      <w:r>
        <w:rPr>
          <w:rFonts w:ascii="Times New Roman" w:hAnsi="Times New Roman"/>
          <w:sz w:val="24"/>
          <w:szCs w:val="24"/>
        </w:rPr>
        <w:t xml:space="preserve">• Developing a clean relational data model in PostgreSQL featuring Row Level Security (RLS) policies to enforce strict data isolation between registered user accounts.</w:t>
      </w:r>
    </w:p>
    <w:p>
      <w:pPr>
        <w:jc w:val="both"/>
        <w:spacing w:line="360" w:lineRule="auto" w:after="160"/>
        <w:ind w:firstLine="240"/>
      </w:pPr>
      <w:r>
        <w:rPr>
          <w:rFonts w:ascii="Times New Roman" w:hAnsi="Times New Roman"/>
          <w:sz w:val="24"/>
          <w:szCs w:val="24"/>
        </w:rPr>
        <w:t xml:space="preserve">• Building a seamless brand-preset database that accelerates subscription entry to under thirty seconds per service.</w:t>
      </w:r>
    </w:p>
    <w:p>
      <w:pPr>
        <w:jc w:val="both"/>
        <w:spacing w:line="360" w:lineRule="auto" w:after="100"/>
      </w:pPr>
      <w:r>
        <w:rPr>
          <w:rFonts w:ascii="Times New Roman" w:hAnsi="Times New Roman"/>
          <w:sz w:val="26"/>
          <w:szCs w:val="26"/>
          <w:b/>
          <w:bCs/>
        </w:rPr>
        <w:t xml:space="preserve">1.4 Scope of the Project</w:t>
      </w:r>
    </w:p>
    <w:p>
      <w:pPr>
        <w:jc w:val="both"/>
        <w:spacing w:line="360" w:lineRule="auto" w:after="100"/>
        <w:ind w:firstLine="480"/>
      </w:pPr>
      <w:r>
        <w:rPr>
          <w:rFonts w:ascii="Times New Roman" w:hAnsi="Times New Roman"/>
          <w:sz w:val="24"/>
          <w:szCs w:val="24"/>
        </w:rPr>
        <w:t xml:space="preserve">The scope of this project encompasses secure user authentication, complete subscription lifecycle management (CRUD), intelligent financial normalization, proactive alert notifications, and dual persistence.</w:t>
      </w:r>
    </w:p>
    <w:p>
      <w:pPr>
        <w:jc w:val="both"/>
        <w:spacing w:line="360" w:lineRule="auto" w:after="160"/>
        <w:ind w:firstLine="480"/>
      </w:pPr>
      <w:r>
        <w:rPr>
          <w:rFonts w:ascii="Times New Roman" w:hAnsi="Times New Roman"/>
          <w:sz w:val="24"/>
          <w:szCs w:val="24"/>
          <w:i/>
          <w:iCs/>
        </w:rPr>
        <w:t xml:space="preserve">Out of Scope: Real-time automated bank scraping and programmatic cancellation execution via bank APIs (due to regulatory and API sandboxing restrictions).</w:t>
      </w:r>
    </w:p>
    <w:p>
      <w:pPr>
        <w:jc w:val="both"/>
        <w:spacing w:line="360" w:lineRule="auto" w:after="100"/>
      </w:pPr>
      <w:r>
        <w:rPr>
          <w:rFonts w:ascii="Times New Roman" w:hAnsi="Times New Roman"/>
          <w:sz w:val="26"/>
          <w:szCs w:val="26"/>
          <w:b/>
          <w:bCs/>
        </w:rPr>
        <w:t xml:space="preserve">1.5 Applications</w:t>
      </w:r>
    </w:p>
    <w:p>
      <w:pPr>
        <w:jc w:val="both"/>
        <w:spacing w:line="360" w:lineRule="auto" w:after="160"/>
        <w:ind w:firstLine="480"/>
      </w:pPr>
      <w:r>
        <w:rPr>
          <w:rFonts w:ascii="Times New Roman" w:hAnsi="Times New Roman"/>
          <w:sz w:val="24"/>
          <w:szCs w:val="24"/>
        </w:rPr>
        <w:t xml:space="preserve">Vaulty addresses key practical scenarios across multiple user demographics including college students and young professionals managing multiple streaming and AI services, freelancers tracking recurring SaaS platforms, and households organizing shared family plans.</w:t>
      </w:r>
    </w:p>
    <w:p>
      <w:pPr>
        <w:jc w:val="both"/>
        <w:spacing w:line="360" w:lineRule="auto" w:after="100"/>
      </w:pPr>
      <w:r>
        <w:rPr>
          <w:rFonts w:ascii="Times New Roman" w:hAnsi="Times New Roman"/>
          <w:sz w:val="26"/>
          <w:szCs w:val="26"/>
          <w:b/>
          <w:bCs/>
        </w:rPr>
        <w:t xml:space="preserve">1.6 Conclusion</w:t>
      </w:r>
    </w:p>
    <w:p>
      <w:pPr>
        <w:jc w:val="both"/>
        <w:spacing w:line="360" w:lineRule="auto" w:after="100"/>
        <w:ind w:firstLine="480"/>
      </w:pPr>
      <w:r>
        <w:rPr>
          <w:rFonts w:ascii="Times New Roman" w:hAnsi="Times New Roman"/>
          <w:sz w:val="24"/>
          <w:szCs w:val="24"/>
        </w:rPr>
        <w:t xml:space="preserve">Vaulty bridges the gap between complex, invasive budgeting platforms and tedious manual spreadsheets. By combining strict computational accuracy with a modern, high-contrast user interface, the project provides an accessible, secure, and actionable financial utility that effectively curbs recurring financial waste.</w:t>
      </w:r>
    </w:p>
    <w:p>
      <w:pPr>
        <w:jc w:val="center"/>
        <w:spacing w:line="360" w:lineRule="auto" w:after="140"/>
      </w:pPr>
      <w:r>
        <w:rPr>
          <w:rFonts w:ascii="Times New Roman" w:hAnsi="Times New Roman"/>
          <w:sz w:val="22"/>
          <w:szCs w:val="22"/>
          <w:b/>
          <w:bCs/>
        </w:rPr>
        <w:t xml:space="preserve">10</w:t>
      </w:r>
    </w:p>
    <w:sectPr>
      <w:pgSz w:w="11906" w:h="16838"/>
      <w:pgMar w:top="1134" w:right="1134" w:bottom="1134" w:left="1134" w:header="708" w:footer="708" w:gutter="0"/>
      <w:pgBorders w:offsetFrom="page">
        <w:top w:val="single" w:sz="12" w:space="24" w:color="000000"/>
        <w:left w:val="single" w:sz="12" w:space="24" w:color="000000"/>
        <w:bottom w:val="single" w:sz="12" w:space="24" w:color="000000"/>
        <w:right w:val="single" w:sz="12" w:space="24" w:color="000000"/>
      </w:pgBorders>
    </w:sectPr>
  </w:body>
</w:document>
</file>

<file path=word/styles.xml><?xml version="1.0" encoding="utf-8"?>
<w:styles xmlns:w="http://schemas.openxmlformats.org/wordprocessingml/2006/main">
  <w:style w:type="character" w:styleId="Hyperlink">
    <w:name w:val="Hyperlink"/>
    <w:rPr>
      <w:color w:val="0563C1"/>
      <w:u w:val="single"/>
    </w:rPr>
  </w:style>
  <w:docDefaults>
    <w:rPrDefault>
      <w:rPr>
        <w:rFonts w:ascii="Times New Roman" w:hAnsi="Times New Roman" w:cs="Times New Roman"/>
        <w:sz w:val="24"/>
        <w:szCs w:val="24"/>
      </w:rPr>
    </w:rPrDefault>
    <w:pPrDefault>
      <w:pPr>
        <w:spacing w:line="360" w:lineRule="auto" w:after="14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VAULTY Minor Project Report (BCA-508)</dc:title>
  <dc:creator>Lakshya Singh</dc:creator>
</cp:coreProperties>
</file>