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line="360" w:lineRule="auto" w:after="200"/>
      </w:pPr>
      <w:r>
        <w:rPr>
          <w:rFonts w:ascii="Times New Roman" w:hAnsi="Times New Roman"/>
          <w:sz w:val="32"/>
          <w:szCs w:val="32"/>
          <w:b/>
          <w:bCs/>
          <w:u w:val="single"/>
        </w:rPr>
        <w:t xml:space="preserve">CHAPTER 3: DESIGN OF PROJECT MODEL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3.1 System Design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The design of Vaulty is grounded in modular, decoupled software engineering principles. The primary design objective is to provide instant computational responsiveness while preserving strict data integrity and privacy.</w:t>
      </w:r>
    </w:p>
    <w:p>
      <w:pPr>
        <w:jc w:val="both"/>
        <w:spacing w:line="360" w:lineRule="auto" w:after="140"/>
        <w:ind w:firstLine="480"/>
      </w:pPr>
      <w:r>
        <w:rPr>
          <w:rFonts w:ascii="Times New Roman" w:hAnsi="Times New Roman"/>
          <w:sz w:val="24"/>
          <w:szCs w:val="24"/>
        </w:rPr>
        <w:t xml:space="preserve">The system is structured around three core operational layers: the presentation layer handling responsive UI widgets, the domain calculation layer executing pure mathematical transformations, and the repository layer abstracting PostgreSQL and local browser storage.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3.2 Architecture of the Proposed System</w:t>
      </w:r>
    </w:p>
    <w:p>
      <w:pPr>
        <w:jc w:val="both"/>
        <w:spacing w:line="360" w:lineRule="auto" w:after="140"/>
        <w:ind w:firstLine="480"/>
      </w:pPr>
      <w:r>
        <w:rPr>
          <w:rFonts w:ascii="Times New Roman" w:hAnsi="Times New Roman"/>
          <w:sz w:val="24"/>
          <w:szCs w:val="24"/>
        </w:rPr>
        <w:t xml:space="preserve">Vaulty adopts a modern 3-Tier Architecture specifically tailored for Next.js 14 App Router applications. Figure 3.1 illustrates the structural components of the system, and Figure 3.2 details the execution flowchart.</w:t>
      </w:r>
    </w:p>
    <w:p>
      <w:pPr>
        <w:jc w:val="center"/>
        <w:spacing w:line="240" w:lineRule="auto" w:after="80"/>
      </w:pPr>
      <w:r>
        <w:rPr>
          <w:rFonts w:ascii="Times New Roman" w:hAnsi="Times New Roman"/>
          <w:sz w:val="22"/>
          <w:szCs w:val="22"/>
          <w:b/>
          <w:bCs/>
        </w:rPr>
        <w:t xml:space="preserve">14</w:t>
      </w:r>
    </w:p>
    <w:p>
      <w:pPr>
        <w:spacing w:after="0"/>
      </w:pPr>
      <w:r>
        <w:br w:type="page"/>
      </w:r>
    </w:p>
    <w:tbl>
      <w:tblPr>
        <w:tblW w:w="9400" w:type="dxa"/>
        <w:tblBorders>
          <w:top w:val="single" w:sz="6" w:color="555555"/>
          <w:left w:val="single" w:sz="6" w:color="555555"/>
          <w:bottom w:val="single" w:sz="6" w:color="555555"/>
          <w:right w:val="single" w:sz="6" w:color="555555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color="auto" w:fill="F9F9F9"/>
          </w:tcPr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+-----------------------------------------------------------------------+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                    PRESENTATION TIER (UI)  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Bento Grid Overview          - Sub Vault Table &amp; Grid View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Bleed Radar &amp; Spend Donut    - Add/Edit Subscription Modal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Command Palette (⌘K)         - Responsive Navigation Shell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+-----------------------------------------------------------------------+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 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                         v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+-----------------------------------------------------------------------+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                 APPLICATION &amp; LOGIC TIER   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Pure Calculation Engine (lib/calc.ts)      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Alert Generation Logic (lib/alerts.ts)     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Schema Validation (Zod &amp; React Hook Form)  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Server Actions (app/actions/subscriptions.ts)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Repository Factory &amp; useSubscriptions Hook 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+-----------------------------------------------------------------------+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 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        +----------------+----------------+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        |         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        v                                 v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+-----------------------------------+  +--------------------------------+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    SUPABASE CLOUD STORAGE      |  |     LOCAL REPOSITORY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PostgreSQL Database            |  |  - Browser localStorage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Supabase Auth (JWT Sessions)   |  |  - Instant Seed Bootstrapping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Row Level Security (RLS)       |  |  - 100% Offline Resilience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+-----------------------------------+  +--------------------------------+</w:t>
            </w:r>
          </w:p>
        </w:tc>
      </w:tr>
    </w:tbl>
    <w:p>
      <w:pPr>
        <w:spacing w:after="120"/>
      </w:pPr>
    </w:p>
    <w:p>
      <w:pPr>
        <w:jc w:val="center"/>
        <w:spacing w:line="360" w:lineRule="auto" w:after="160"/>
      </w:pPr>
      <w:r>
        <w:rPr>
          <w:rFonts w:ascii="Times New Roman" w:hAnsi="Times New Roman"/>
          <w:sz w:val="22"/>
          <w:szCs w:val="22"/>
          <w:b/>
          <w:bCs/>
        </w:rPr>
        <w:t xml:space="preserve">Figure 3.1: High-Level System Architecture of Vaulty</w:t>
      </w:r>
    </w:p>
    <w:tbl>
      <w:tblPr>
        <w:tblW w:w="9400" w:type="dxa"/>
        <w:tblBorders>
          <w:top w:val="single" w:sz="6" w:color="555555"/>
          <w:left w:val="single" w:sz="6" w:color="555555"/>
          <w:bottom w:val="single" w:sz="6" w:color="555555"/>
          <w:right w:val="single" w:sz="6" w:color="555555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color="auto" w:fill="F9F9F9"/>
          </w:tcPr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[ User Request / Event ]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 v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[ Next.js 14 Page / Client Component ]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 v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[ Form Validation Layer: Zod Schema ]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 v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[ Domain Calculation Engine: lib/calc.ts ]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 v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[ SubscriptionRepository Interface ]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/              \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v                v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[ Supabase Client ]   [ LocalStorage Repository ]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|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[ PostgreSQL DB ]     [ Browser Storage ]</w:t>
            </w:r>
          </w:p>
        </w:tc>
      </w:tr>
    </w:tbl>
    <w:p>
      <w:pPr>
        <w:spacing w:after="120"/>
      </w:pPr>
    </w:p>
    <w:p>
      <w:pPr>
        <w:jc w:val="center"/>
        <w:spacing w:line="360" w:lineRule="auto" w:after="160"/>
      </w:pPr>
      <w:r>
        <w:rPr>
          <w:rFonts w:ascii="Times New Roman" w:hAnsi="Times New Roman"/>
          <w:sz w:val="22"/>
          <w:szCs w:val="22"/>
          <w:b/>
          <w:bCs/>
        </w:rPr>
        <w:t xml:space="preserve">Figure 3.2: 3-Tier Layered Architecture Flowchart</w:t>
      </w:r>
    </w:p>
    <w:p>
      <w:pPr>
        <w:jc w:val="center"/>
        <w:spacing w:line="240" w:lineRule="auto" w:after="80"/>
      </w:pPr>
      <w:r>
        <w:rPr>
          <w:rFonts w:ascii="Times New Roman" w:hAnsi="Times New Roman"/>
          <w:sz w:val="22"/>
          <w:szCs w:val="22"/>
          <w:b/>
          <w:bCs/>
        </w:rPr>
        <w:t xml:space="preserve">15</w:t>
      </w:r>
    </w:p>
    <w:p>
      <w:pPr>
        <w:spacing w:after="0"/>
      </w:pPr>
      <w:r>
        <w:br w:type="page"/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3.3 Working of the System</w:t>
      </w:r>
    </w:p>
    <w:p>
      <w:pPr>
        <w:jc w:val="both"/>
        <w:spacing w:line="360" w:lineRule="auto" w:after="140"/>
        <w:ind w:firstLine="480"/>
      </w:pPr>
      <w:r>
        <w:rPr>
          <w:rFonts w:ascii="Times New Roman" w:hAnsi="Times New Roman"/>
          <w:sz w:val="24"/>
          <w:szCs w:val="24"/>
        </w:rPr>
        <w:t xml:space="preserve">The operational lifecycle follows four sequential steps: (1) Session Initialization via Supabase Auth or instant demo mode, (2) Subscription Entry using brand presets, (3) Mathematical Normalization via pure functions in lib/calc.ts, and (4) Intelligence Scans detecting zombie inactivity and expiring trial dates.</w:t>
      </w:r>
    </w:p>
    <w:tbl>
      <w:tblPr>
        <w:tblW w:w="9400" w:type="dxa"/>
        <w:tblBorders>
          <w:top w:val="single" w:sz="6" w:color="555555"/>
          <w:left w:val="single" w:sz="6" w:color="555555"/>
          <w:bottom w:val="single" w:sz="6" w:color="555555"/>
          <w:right w:val="single" w:sz="6" w:color="555555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color="auto" w:fill="F9F9F9"/>
          </w:tcPr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+--------------------+        Credentials / Demo Mode        +--------------------+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                 | -----------------------------------&gt; |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    User         |                                      |   Authentication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                 | &lt;----------------------------------- |      Service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+--------------------+            Session Token             +--------------------+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| Add / Update / Delete Subscription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v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+---------------------------------------------------------------------------------+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                             Vaulty Core Engine       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                                                      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[ Input Validation ] ---&gt; [ Normalization Engine ] ---&gt; [ Intelligence Scan ]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  (Zod Schema)                (lib/calc.ts)                (Zombie &amp; Trials)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+---------------------------------------------------------------------------------+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|                                 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v                                                         v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+--------------------+                                    +--------------------+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Repository Layer  |                                    |  Dashboard Cards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(PostgreSQL/Local) |                                    | (Burn Rate, Donut)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+--------------------+                                    +--------------------+</w:t>
            </w:r>
          </w:p>
        </w:tc>
      </w:tr>
    </w:tbl>
    <w:p>
      <w:pPr>
        <w:spacing w:after="120"/>
      </w:pPr>
    </w:p>
    <w:p>
      <w:pPr>
        <w:jc w:val="center"/>
        <w:spacing w:line="360" w:lineRule="auto" w:after="160"/>
      </w:pPr>
      <w:r>
        <w:rPr>
          <w:rFonts w:ascii="Times New Roman" w:hAnsi="Times New Roman"/>
          <w:sz w:val="22"/>
          <w:szCs w:val="22"/>
          <w:b/>
          <w:bCs/>
        </w:rPr>
        <w:t xml:space="preserve">Figure 3.3: Context-Level Data Flow Diagram (DFD Level 0 &amp; Level 1)</w:t>
      </w:r>
    </w:p>
    <w:p>
      <w:pPr>
        <w:jc w:val="center"/>
        <w:spacing w:line="240" w:lineRule="auto" w:after="80"/>
      </w:pPr>
      <w:r>
        <w:rPr>
          <w:rFonts w:ascii="Times New Roman" w:hAnsi="Times New Roman"/>
          <w:sz w:val="22"/>
          <w:szCs w:val="22"/>
          <w:b/>
          <w:bCs/>
        </w:rPr>
        <w:t xml:space="preserve">16</w:t>
      </w:r>
    </w:p>
    <w:p>
      <w:pPr>
        <w:spacing w:after="0"/>
      </w:pPr>
      <w:r>
        <w:br w:type="page"/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3.4 Tools and Technologies Used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4"/>
          <w:szCs w:val="24"/>
        </w:rPr>
        <w:t xml:space="preserve">The system architecture leverages modern open-source web technologies: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22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Technology</w:t>
            </w:r>
          </w:p>
        </w:tc>
        <w:tc>
          <w:tcPr>
            <w:tcW w:w="32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Role / Layer</w:t>
            </w:r>
          </w:p>
        </w:tc>
        <w:tc>
          <w:tcPr>
            <w:tcW w:w="40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Selection Rationale</w:t>
            </w:r>
          </w:p>
        </w:tc>
      </w:tr>
      <w:tr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Next.js 14</w:t>
            </w:r>
          </w:p>
        </w:tc>
        <w:tc>
          <w:tcPr>
            <w:tcW w:w="3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Full-Stack Web Framework</w:t>
            </w:r>
          </w:p>
        </w:tc>
        <w:tc>
          <w:tcPr>
            <w:tcW w:w="4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App Router provides React Server Components and fast client transitions</w:t>
            </w:r>
          </w:p>
        </w:tc>
      </w:tr>
      <w:tr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TypeScript</w:t>
            </w:r>
          </w:p>
        </w:tc>
        <w:tc>
          <w:tcPr>
            <w:tcW w:w="3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Programming Language</w:t>
            </w:r>
          </w:p>
        </w:tc>
        <w:tc>
          <w:tcPr>
            <w:tcW w:w="4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Strict type safety prevents null-pointer and financial calculation errors</w:t>
            </w:r>
          </w:p>
        </w:tc>
      </w:tr>
      <w:tr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Tailwind CSS 3.4</w:t>
            </w:r>
          </w:p>
        </w:tc>
        <w:tc>
          <w:tcPr>
            <w:tcW w:w="3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Utility-First Styling</w:t>
            </w:r>
          </w:p>
        </w:tc>
        <w:tc>
          <w:tcPr>
            <w:tcW w:w="4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Precise implementation of dark-mode tokens, borders, and responsive layouts</w:t>
            </w:r>
          </w:p>
        </w:tc>
      </w:tr>
      <w:tr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Supabase</w:t>
            </w:r>
          </w:p>
        </w:tc>
        <w:tc>
          <w:tcPr>
            <w:tcW w:w="3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Cloud Database &amp; Auth</w:t>
            </w:r>
          </w:p>
        </w:tc>
        <w:tc>
          <w:tcPr>
            <w:tcW w:w="4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Managed PostgreSQL with Row Level Security (RLS) for data isolation</w:t>
            </w:r>
          </w:p>
        </w:tc>
      </w:tr>
      <w:tr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Recharts</w:t>
            </w:r>
          </w:p>
        </w:tc>
        <w:tc>
          <w:tcPr>
            <w:tcW w:w="3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Interactive Visualization</w:t>
            </w:r>
          </w:p>
        </w:tc>
        <w:tc>
          <w:tcPr>
            <w:tcW w:w="4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Declarative SVG charting for burn-rate area curves and category donuts</w:t>
            </w:r>
          </w:p>
        </w:tc>
      </w:tr>
      <w:tr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Zod</w:t>
            </w:r>
          </w:p>
        </w:tc>
        <w:tc>
          <w:tcPr>
            <w:tcW w:w="3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Schema Validation</w:t>
            </w:r>
          </w:p>
        </w:tc>
        <w:tc>
          <w:tcPr>
            <w:tcW w:w="4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Unified, type-safe validation shared between client forms and server actions</w:t>
            </w:r>
          </w:p>
        </w:tc>
      </w:tr>
      <w:tr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React Hook Form</w:t>
            </w:r>
          </w:p>
        </w:tc>
        <w:tc>
          <w:tcPr>
            <w:tcW w:w="3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Form State Management</w:t>
            </w:r>
          </w:p>
        </w:tc>
        <w:tc>
          <w:tcPr>
            <w:tcW w:w="4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Performant, uncontrolled form rendering minimizing unnecessary re-renders</w:t>
            </w:r>
          </w:p>
        </w:tc>
      </w:tr>
      <w:tr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date-fns</w:t>
            </w:r>
          </w:p>
        </w:tc>
        <w:tc>
          <w:tcPr>
            <w:tcW w:w="3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Date Computation</w:t>
            </w:r>
          </w:p>
        </w:tc>
        <w:tc>
          <w:tcPr>
            <w:tcW w:w="4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Pure, immutable date calculation functions handling leap years and cycle offsets</w:t>
            </w:r>
          </w:p>
        </w:tc>
      </w:tr>
      <w:tr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Lucide React</w:t>
            </w:r>
          </w:p>
        </w:tc>
        <w:tc>
          <w:tcPr>
            <w:tcW w:w="3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Iconography</w:t>
            </w:r>
          </w:p>
        </w:tc>
        <w:tc>
          <w:tcPr>
            <w:tcW w:w="4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Lightweight, consistent SVG icon set matching modern fintech interfaces</w:t>
            </w:r>
          </w:p>
        </w:tc>
      </w:tr>
      <w:tr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Vitest</w:t>
            </w:r>
          </w:p>
        </w:tc>
        <w:tc>
          <w:tcPr>
            <w:tcW w:w="3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Unit Testing Suite</w:t>
            </w:r>
          </w:p>
        </w:tc>
        <w:tc>
          <w:tcPr>
            <w:tcW w:w="4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High-speed unit test runner verifying calculation accuracy</w:t>
            </w:r>
          </w:p>
        </w:tc>
      </w:tr>
    </w:tbl>
    <w:p>
      <w:pPr>
        <w:spacing w:after="120"/>
      </w:pPr>
    </w:p>
    <w:p>
      <w:pPr>
        <w:jc w:val="center"/>
        <w:spacing w:line="240" w:lineRule="auto" w:after="80"/>
      </w:pPr>
      <w:r>
        <w:rPr>
          <w:rFonts w:ascii="Times New Roman" w:hAnsi="Times New Roman"/>
          <w:sz w:val="22"/>
          <w:szCs w:val="22"/>
          <w:b/>
          <w:bCs/>
        </w:rPr>
        <w:t xml:space="preserve">17</w:t>
      </w:r>
    </w:p>
    <w:p>
      <w:pPr>
        <w:spacing w:after="0"/>
      </w:pPr>
      <w:r>
        <w:br w:type="page"/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3.5 Expected Output</w:t>
      </w:r>
    </w:p>
    <w:p>
      <w:pPr>
        <w:jc w:val="both"/>
        <w:spacing w:line="360" w:lineRule="auto" w:after="140"/>
        <w:ind w:firstLine="480"/>
      </w:pPr>
      <w:r>
        <w:rPr>
          <w:rFonts w:ascii="Times New Roman" w:hAnsi="Times New Roman"/>
          <w:sz w:val="24"/>
          <w:szCs w:val="24"/>
        </w:rPr>
        <w:t xml:space="preserve">The system delivers deterministic financial totals (verifying seed total at ₹3,849/mo and ₹46,188/yr), actionable dormant expense alerts (3 zombie subscriptions with ₹899/mo savings), proactive trial countdowns (Amazon Prime ends in 48 hours), structured CSV data exports, and instantaneous client-side filter and search responses.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By isolating calculation logic from the user interface and utilizing the repository pattern, Vaulty guarantees high reliability, complete user privacy, and an exceptional user experience.</w:t>
      </w:r>
    </w:p>
    <w:p>
      <w:pPr>
        <w:jc w:val="center"/>
        <w:spacing w:line="360" w:lineRule="auto" w:after="140"/>
      </w:pPr>
      <w:r>
        <w:rPr>
          <w:rFonts w:ascii="Times New Roman" w:hAnsi="Times New Roman"/>
          <w:sz w:val="22"/>
          <w:szCs w:val="22"/>
          <w:b/>
          <w:bCs/>
        </w:rPr>
        <w:t xml:space="preserve">18</w:t>
      </w:r>
    </w:p>
    <w:sectPr>
      <w:pgSz w:w="11906" w:h="16838"/>
      <w:pgMar w:top="1134" w:right="1134" w:bottom="1134" w:left="1134" w:header="708" w:footer="708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styles.xml><?xml version="1.0" encoding="utf-8"?>
<w:styles xmlns:w="http://schemas.openxmlformats.org/wordprocessingml/2006/main">
  <w:style w:type="character" w:styleId="Hyperlink">
    <w:name w:val="Hyperlink"/>
    <w:rPr>
      <w:color w:val="0563C1"/>
      <w:u w:val="single"/>
    </w:rPr>
  </w:style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line="360" w:lineRule="auto" w:after="140"/>
        <w:jc w:val="both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
  
</Relationships>
</file>

<file path=docProps/core.xml><?xml version="1.0" encoding="utf-8"?>
<cp:coreProperties xmlns:cp="http://schemas.openxmlformats.org/package/2006/metadata/core-properties" xmlns:dc="http://purl.org/dc/elements/1.1/">
  <dc:title>VAULTY Minor Project Report (BCA-508)</dc:title>
  <dc:creator>Lakshya Singh</dc:creator>
</cp:coreProperties>
</file>