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line="360" w:lineRule="auto" w:after="200"/>
      </w:pPr>
      <w:r>
        <w:rPr>
          <w:rFonts w:ascii="Times New Roman" w:hAnsi="Times New Roman"/>
          <w:sz w:val="32"/>
          <w:szCs w:val="32"/>
          <w:b/>
          <w:bCs/>
          <w:u w:val="single"/>
        </w:rPr>
        <w:t xml:space="preserve">CHAPTER 6: DATABASE MANAGEMENT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6.1 Introduction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A reliable database layer is critical for any financial management system. Vaulty utilizes a relational database architecture hosted on PostgreSQL (managed via Supabase). The schema enforces relational integrity, check constraints on costs, and cryptographic data isolation.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6.2 Database Design &amp; Schema Architecture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Figure 6.1 illustrates the Entity-Relationship (ER) structure across profiles, categories, subscriptions, price_history, and alerts.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    +------------------------+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PROFILES      |            |       CATEGORIES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        +------------------------+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id (UUID, PK)      |&lt;---+       | id (UUID, PK)          |&lt;---+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email (text)       |    |       | name (text, unique)    |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name (text)        |    |       | color_code (text)      |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currency_pref      |    |       | is_default (bool)      |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default_reminder   |    |       +------------------------+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role (text)        |    |                   ^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created_at         |    |                   | 1:N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  |                   |      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|       +------------------------+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1:N           +-------|     SUBSCRIPTIONS      |----+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+------------------------+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id (UUID, PK)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user_id (UUID, FK)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category_id (UUID, FK)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service_name (text)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cost (numeric 10,2)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billing_cycle (text)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next_billing_date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                      | status (text)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+-------------------+   | last_used_at           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| 1:N               |   +------------------------+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        v                   v               | 1:N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+--------------------+|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|       ALERTS       |  |   PRICE_HISTORY    |v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+--------------------+  +--------------------+</w:t>
            </w:r>
          </w:p>
        </w:tc>
      </w:tr>
    </w:tbl>
    <w:p>
      <w:pPr>
        <w:spacing w:after="120"/>
      </w:pPr>
    </w:p>
    <w:p>
      <w:pPr>
        <w:jc w:val="center"/>
        <w:spacing w:line="360" w:lineRule="auto" w:after="160"/>
      </w:pPr>
      <w:r>
        <w:rPr>
          <w:rFonts w:ascii="Times New Roman" w:hAnsi="Times New Roman"/>
          <w:sz w:val="22"/>
          <w:szCs w:val="22"/>
          <w:b/>
          <w:bCs/>
        </w:rPr>
        <w:t xml:space="preserve">Figure 6.1: Entity-Relationship (ER) Diagram of the Database</w:t>
      </w:r>
    </w:p>
    <w:p>
      <w:pPr>
        <w:jc w:val="center"/>
        <w:spacing w:line="240" w:lineRule="auto" w:after="80"/>
      </w:pPr>
      <w:r>
        <w:rPr>
          <w:rFonts w:ascii="Times New Roman" w:hAnsi="Times New Roman"/>
          <w:sz w:val="22"/>
          <w:szCs w:val="22"/>
          <w:b/>
          <w:bCs/>
        </w:rPr>
        <w:t xml:space="preserve">24</w:t>
      </w:r>
    </w:p>
    <w:p>
      <w:pPr>
        <w:spacing w:after="0"/>
      </w:pPr>
      <w:r>
        <w:br w:type="page"/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6.3 Subscription &amp; Alert Records Management</w:t>
      </w:r>
    </w:p>
    <w:p>
      <w:pPr>
        <w:jc w:val="both"/>
        <w:spacing w:line="360" w:lineRule="auto" w:after="120"/>
        <w:ind w:firstLine="480"/>
      </w:pPr>
      <w:r>
        <w:rPr>
          <w:rFonts w:ascii="Times New Roman" w:hAnsi="Times New Roman"/>
          <w:sz w:val="24"/>
          <w:szCs w:val="24"/>
        </w:rPr>
        <w:t xml:space="preserve">The subscriptions table enforces constraints ensuring cost &gt;= 0, billing_cycle in ('weekly','monthly','quarterly','yearly'), and status in ('active','paused','cancelled'). Alerts are indexed by (sub_id, type, alert_date) to prevent duplicates.</w:t>
      </w: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6.4 Database Operations (CRUD &amp; Triggers)</w:t>
      </w:r>
    </w:p>
    <w:p>
      <w:pPr>
        <w:jc w:val="both"/>
        <w:spacing w:line="360" w:lineRule="auto" w:after="80"/>
      </w:pPr>
      <w:r>
        <w:rPr>
          <w:rFonts w:ascii="Times New Roman" w:hAnsi="Times New Roman"/>
          <w:sz w:val="24"/>
          <w:szCs w:val="24"/>
        </w:rPr>
        <w:t xml:space="preserve">An automated PostgreSQL trigger creates a profile entry immediately upon auth.users signup: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create function handle_new_user() returns trigger as $$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begin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insert into profiles (id, email, name)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values (new.id, new.email, coalesce(new.raw_user_meta_data-&gt;&gt;'name', split_part(new.email,'@',1)));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return new;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end; $$ language plpgsql security definer;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/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create trigger on_auth_user_created after insert on auth.users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for each row execute procedure handle_new_user();</w:t>
            </w:r>
          </w:p>
        </w:tc>
      </w:tr>
    </w:tbl>
    <w:p>
      <w:pPr>
        <w:spacing w:after="120"/>
      </w:pPr>
    </w:p>
    <w:p>
      <w:pPr>
        <w:jc w:val="both"/>
        <w:spacing w:line="360" w:lineRule="auto" w:after="100"/>
      </w:pPr>
      <w:r>
        <w:rPr>
          <w:rFonts w:ascii="Times New Roman" w:hAnsi="Times New Roman"/>
          <w:sz w:val="26"/>
          <w:szCs w:val="26"/>
          <w:b/>
          <w:bCs/>
        </w:rPr>
        <w:t xml:space="preserve">6.5 Advantages of Database Integration with Row Level Security</w:t>
      </w:r>
    </w:p>
    <w:p>
      <w:pPr>
        <w:jc w:val="both"/>
        <w:spacing w:line="360" w:lineRule="auto" w:after="80"/>
      </w:pPr>
      <w:r>
        <w:rPr>
          <w:rFonts w:ascii="Times New Roman" w:hAnsi="Times New Roman"/>
          <w:sz w:val="24"/>
          <w:szCs w:val="24"/>
        </w:rPr>
        <w:t xml:space="preserve">PostgreSQL Row Level Security (RLS) policies enforce cryptographic data isolation at the database kernel level:</w:t>
      </w:r>
    </w:p>
    <w:tbl>
      <w:tblPr>
        <w:tblW w:w="9400" w:type="dxa"/>
        <w:tblBorders>
          <w:top w:val="single" w:sz="6" w:color="555555"/>
          <w:left w:val="single" w:sz="6" w:color="555555"/>
          <w:bottom w:val="single" w:sz="6" w:color="555555"/>
          <w:right w:val="single" w:sz="6" w:color="555555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shd w:val="clear" w:color="auto" w:fill="F9F9F9"/>
          </w:tcPr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alter table subscriptions enable row level security;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/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create policy "Users can only access own subscriptions"</w:t>
            </w:r>
          </w:p>
          <w:p>
            <w:pPr>
              <w:jc w:val="left"/>
              <w:spacing w:line="240" w:lineRule="auto" w:after="0"/>
            </w:pPr>
            <w:r>
              <w:rPr>
                <w:rFonts w:ascii="Courier New" w:hAnsi="Courier New"/>
                <w:sz w:val="18"/>
              </w:rPr>
              <w:t xml:space="preserve">  on subscriptions for all using (auth.uid() = user_id);</w:t>
            </w:r>
          </w:p>
        </w:tc>
      </w:tr>
    </w:tbl>
    <w:p>
      <w:pPr>
        <w:spacing w:after="120"/>
      </w:pPr>
    </w:p>
    <w:p>
      <w:pPr>
        <w:jc w:val="both"/>
        <w:spacing w:line="360" w:lineRule="auto" w:after="100"/>
        <w:ind w:firstLine="480"/>
      </w:pPr>
      <w:r>
        <w:rPr>
          <w:rFonts w:ascii="Times New Roman" w:hAnsi="Times New Roman"/>
          <w:sz w:val="24"/>
          <w:szCs w:val="24"/>
        </w:rPr>
        <w:t xml:space="preserve">Even if an unauthorized API call attempts to query or alter another user’s record, PostgreSQL rejects the transaction at the database engine level, guaranteeing total confidentiality.</w:t>
      </w:r>
    </w:p>
    <w:p>
      <w:pPr>
        <w:jc w:val="center"/>
        <w:spacing w:line="360" w:lineRule="auto" w:after="140"/>
      </w:pPr>
      <w:r>
        <w:rPr>
          <w:rFonts w:ascii="Times New Roman" w:hAnsi="Times New Roman"/>
          <w:sz w:val="22"/>
          <w:szCs w:val="22"/>
          <w:b/>
          <w:bCs/>
        </w:rPr>
        <w:t xml:space="preserve">25</w:t>
      </w:r>
    </w:p>
    <w:sectPr>
      <w:pgSz w:w="11906" w:h="16838"/>
      <w:pgMar w:top="1134" w:right="1134" w:bottom="1134" w:left="1134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styles.xml><?xml version="1.0" encoding="utf-8"?>
<w:styles xmlns:w="http://schemas.openxmlformats.org/wordprocessingml/2006/main">
  <w:style w:type="character" w:styleId="Hyperlink">
    <w:name w:val="Hyperlink"/>
    <w:rPr>
      <w:color w:val="0563C1"/>
      <w:u w:val="single"/>
    </w:rPr>
  </w:style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line="360" w:lineRule="auto" w:after="14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
  
</Relationships>
</file>

<file path=docProps/core.xml><?xml version="1.0" encoding="utf-8"?>
<cp:coreProperties xmlns:cp="http://schemas.openxmlformats.org/package/2006/metadata/core-properties" xmlns:dc="http://purl.org/dc/elements/1.1/">
  <dc:title>VAULTY Minor Project Report (BCA-508)</dc:title>
  <dc:creator>Lakshya Singh</dc:creator>
</cp:coreProperties>
</file>