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CHAPTER 7: RESULTS AND EVALUATION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7.1 Introduction</w:t>
      </w:r>
    </w:p>
    <w:p>
      <w:pPr>
        <w:jc w:val="both"/>
        <w:spacing w:line="360" w:lineRule="auto" w:after="120"/>
        <w:ind w:firstLine="480"/>
      </w:pPr>
      <w:r>
        <w:rPr>
          <w:rFonts w:ascii="Times New Roman" w:hAnsi="Times New Roman"/>
          <w:sz w:val="24"/>
          <w:szCs w:val="24"/>
        </w:rPr>
        <w:t xml:space="preserve">This chapter presents the empirical evaluation, mathematical verification, and system benchmark results obtained during the operation of Vaulty across functional metrics and performance benchmarks.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7.2 Subscription Spend Detection Results</w:t>
      </w:r>
    </w:p>
    <w:p>
      <w:pPr>
        <w:jc w:val="both"/>
        <w:spacing w:line="360" w:lineRule="auto" w:after="120"/>
        <w:ind w:firstLine="480"/>
      </w:pPr>
      <w:r>
        <w:rPr>
          <w:rFonts w:ascii="Times New Roman" w:hAnsi="Times New Roman"/>
          <w:sz w:val="24"/>
          <w:szCs w:val="24"/>
        </w:rPr>
        <w:t xml:space="preserve">Testing with the benchmark dataset produced exact mathematical outputs: Monthly Wallet Bleed normalized to exactly ₹3,849.00/month, Annual Commitment Forecast of ₹46,188.00/year, and a Dec forecast of ₹4,120.00.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Monthly Spend (INR)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₹4,500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₹4,000 |                                                 * Dec Forecast (₹4,120)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₹3,500 |              *----------------* - - - - - - - -/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₹3,000 |      *------/  (Actual Spend)    (Projected Trajectory)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₹2,500 |_____/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+--------------------------------------------------------&gt;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 Jan  Feb  Mar  Apr  May  Jun  Jul  Aug  Sep  Oct  Nov  Dec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60"/>
      </w:pPr>
      <w:r>
        <w:rPr>
          <w:rFonts w:ascii="Times New Roman" w:hAnsi="Times New Roman"/>
          <w:sz w:val="22"/>
          <w:szCs w:val="22"/>
          <w:b/>
          <w:bCs/>
        </w:rPr>
        <w:t xml:space="preserve">Figure 7.1: Monthly Spend Trajectory (Burn Rate Flow Area Chart)</w:t>
      </w: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26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7.3 Alert &amp; Zombie Detection Results</w:t>
      </w:r>
    </w:p>
    <w:p>
      <w:pPr>
        <w:jc w:val="both"/>
        <w:spacing w:line="360" w:lineRule="auto" w:after="120"/>
        <w:ind w:firstLine="480"/>
      </w:pPr>
      <w:r>
        <w:rPr>
          <w:rFonts w:ascii="Times New Roman" w:hAnsi="Times New Roman"/>
          <w:sz w:val="24"/>
          <w:szCs w:val="24"/>
        </w:rPr>
        <w:t xml:space="preserve">The intelligence scan accurately flagged 3 zombie subscriptions (Cult.fit Gym, iCloud 200GB, Xbox Game Pass) with reclaimable savings of ₹899.00/month (₹10,788.00/year), and triggered an urgent 48-hour alert for the expiring Amazon Prime trial.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Category Share (%):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[████████████████████] Streaming (50% — ₹1,097/mo)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[██████████]           Gym / Health (25% — ₹899/mo)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[██████]               Cloud Storage (15% — ₹349/mo)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[████]                 Gaming (10% — ₹349/mo)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Figure 7.2: Category Spend Distribution (Donut Chart Visualization)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7.4 System Performance &amp; Benchmark Metrics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30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Metric</w:t>
            </w:r>
          </w:p>
        </w:tc>
        <w:tc>
          <w:tcPr>
            <w:tcW w:w="22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Measured Value</w:t>
            </w:r>
          </w:p>
        </w:tc>
        <w:tc>
          <w:tcPr>
            <w:tcW w:w="22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Benchmark</w:t>
            </w:r>
          </w:p>
        </w:tc>
        <w:tc>
          <w:tcPr>
            <w:tcW w:w="2000" w:type="dxa"/>
            <w:shd w:val="clear" w:color="auto" w:fill="F0F0F0"/>
          </w:tcPr>
          <w:p>
            <w:pPr>
              <w:jc w:val="center"/>
              <w:spacing w:line="240" w:lineRule="auto" w:after="0"/>
            </w:pPr>
            <w:r>
              <w:rPr>
                <w:b/>
                <w:sz w:val="21"/>
              </w:rPr>
              <w:t>Status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First Contentful Paint (FCP)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0.85 seconds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&lt; 1.8 seconds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Excellent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Largest Contentful Paint (LCP)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1.15 seconds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&lt; 2.5 seconds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Excellent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Time to Interactive (TTI)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1.10 seconds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&lt; 3.8 seconds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Excellent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Search &amp; Filter Latency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&lt; 12 ms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&lt; 100 ms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Instant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Lighthouse Performance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96 / 100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&gt; 90 / 100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Passed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Lighthouse Accessibility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98 / 100</w:t>
            </w:r>
          </w:p>
        </w:tc>
        <w:tc>
          <w:tcPr>
            <w:tcW w:w="22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&gt; 90 / 100</w:t>
            </w:r>
          </w:p>
        </w:tc>
        <w:tc>
          <w:tcPr>
            <w:tcW w:w="2000" w:type="dxa"/>
          </w:tcPr>
          <w:p>
            <w:pPr>
              <w:jc w:val="left"/>
              <w:spacing w:line="240" w:lineRule="auto" w:after="0"/>
            </w:pPr>
            <w:r>
              <w:rPr>
                <w:sz w:val="21"/>
              </w:rPr>
              <w:t>Passed</w:t>
            </w:r>
          </w:p>
        </w:tc>
      </w:tr>
    </w:tbl>
    <w:p>
      <w:pPr>
        <w:spacing w:after="120"/>
      </w:pP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27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7.5 Benefits Achieved</w:t>
      </w:r>
    </w:p>
    <w:p>
      <w:pPr>
        <w:jc w:val="both"/>
        <w:spacing w:line="360" w:lineRule="auto" w:after="120"/>
        <w:ind w:firstLine="480"/>
      </w:pPr>
      <w:r>
        <w:rPr>
          <w:rFonts w:ascii="Times New Roman" w:hAnsi="Times New Roman"/>
          <w:sz w:val="24"/>
          <w:szCs w:val="24"/>
        </w:rPr>
        <w:t xml:space="preserve">The project successfully eliminates subscription blindness, enables measurable monthly and annual capital recovery, prevents unwanted trial conversions, and maintains zero exposure of banking credentials.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Vaulty fulfills all core functional, architectural, and security requirements defined for the BCA-508 minor project evaluation.</w:t>
      </w: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28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