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line="360" w:lineRule="auto" w:after="200"/>
      </w:pPr>
      <w:r>
        <w:rPr>
          <w:rFonts w:ascii="Times New Roman" w:hAnsi="Times New Roman"/>
          <w:sz w:val="32"/>
          <w:szCs w:val="32"/>
          <w:b/>
          <w:bCs/>
          <w:u w:val="single"/>
        </w:rPr>
        <w:t xml:space="preserve">REFERENCES &amp; BIBLIOGRAPHY</w:t>
      </w:r>
    </w:p>
    <w:p>
      <w:pPr>
        <w:jc w:val="left"/>
        <w:spacing w:line="360" w:lineRule="auto" w:after="140"/>
      </w:pPr>
      <w:r>
        <w:rPr>
          <w:rFonts w:ascii="Times New Roman" w:hAnsi="Times New Roman"/>
          <w:sz w:val="22"/>
          <w:szCs w:val="22"/>
        </w:rPr>
        <w:t xml:space="preserve">1. Next.js Documentation &amp; Architectural Patterns - Vercel Inc. (2024). Next.js 14 App Router Architecture. Available online: </w:t>
      </w:r>
      <w:hyperlink r:id="rIdHL23" w:history="1">
        <w:r>
          <w:rPr>
            <w:rStyle w:val="Hyperlink"/>
            <w:rFonts w:ascii="Times New Roman" w:hAnsi="Times New Roman"/>
            <w:color w:val="0563C1"/>
            <w:u w:val="single"/>
            <w:sz w:val="22"/>
            <w:szCs w:val="22"/>
          </w:rPr>
          <w:t xml:space="preserve">https://nextjs.org/docs</w:t>
        </w:r>
      </w:hyperlink>
    </w:p>
    <w:p>
      <w:pPr>
        <w:jc w:val="left"/>
        <w:spacing w:line="360" w:lineRule="auto" w:after="140"/>
      </w:pPr>
      <w:r>
        <w:rPr>
          <w:rFonts w:ascii="Times New Roman" w:hAnsi="Times New Roman"/>
          <w:sz w:val="22"/>
          <w:szCs w:val="22"/>
        </w:rPr>
        <w:t xml:space="preserve">2. React 18 Concurrent Rendering &amp; State Paradigms - Meta Platforms (2023). React 18 Architectural Principles. Available online: </w:t>
      </w:r>
      <w:hyperlink r:id="rIdHL24" w:history="1">
        <w:r>
          <w:rPr>
            <w:rStyle w:val="Hyperlink"/>
            <w:rFonts w:ascii="Times New Roman" w:hAnsi="Times New Roman"/>
            <w:color w:val="0563C1"/>
            <w:u w:val="single"/>
            <w:sz w:val="22"/>
            <w:szCs w:val="22"/>
          </w:rPr>
          <w:t xml:space="preserve">https://react.dev/reference/react</w:t>
        </w:r>
      </w:hyperlink>
    </w:p>
    <w:p>
      <w:pPr>
        <w:jc w:val="left"/>
        <w:spacing w:line="360" w:lineRule="auto" w:after="140"/>
      </w:pPr>
      <w:r>
        <w:rPr>
          <w:rFonts w:ascii="Times New Roman" w:hAnsi="Times New Roman"/>
          <w:sz w:val="22"/>
          <w:szCs w:val="22"/>
        </w:rPr>
        <w:t xml:space="preserve">3. PostgreSQL Relational Database &amp; Security Specifications - PostgreSQL Global Development Group (2024). Row Security Policies. Available online: </w:t>
      </w:r>
      <w:hyperlink r:id="rIdHL25" w:history="1">
        <w:r>
          <w:rPr>
            <w:rStyle w:val="Hyperlink"/>
            <w:rFonts w:ascii="Times New Roman" w:hAnsi="Times New Roman"/>
            <w:color w:val="0563C1"/>
            <w:u w:val="single"/>
            <w:sz w:val="22"/>
            <w:szCs w:val="22"/>
          </w:rPr>
          <w:t xml:space="preserve">https://www.postgresql.org/docs/current/ddl-rowsecurity.html</w:t>
        </w:r>
      </w:hyperlink>
    </w:p>
    <w:p>
      <w:pPr>
        <w:jc w:val="left"/>
        <w:spacing w:line="360" w:lineRule="auto" w:after="140"/>
      </w:pPr>
      <w:r>
        <w:rPr>
          <w:rFonts w:ascii="Times New Roman" w:hAnsi="Times New Roman"/>
          <w:sz w:val="22"/>
          <w:szCs w:val="22"/>
        </w:rPr>
        <w:t xml:space="preserve">4. Supabase Cloud Infrastructure &amp; Architecture - Supabase Inc. (2024). Client Libraries Reference. Available online: </w:t>
      </w:r>
      <w:hyperlink r:id="rIdHL26" w:history="1">
        <w:r>
          <w:rPr>
            <w:rStyle w:val="Hyperlink"/>
            <w:rFonts w:ascii="Times New Roman" w:hAnsi="Times New Roman"/>
            <w:color w:val="0563C1"/>
            <w:u w:val="single"/>
            <w:sz w:val="22"/>
            <w:szCs w:val="22"/>
          </w:rPr>
          <w:t xml:space="preserve">https://supabase.com/docs</w:t>
        </w:r>
      </w:hyperlink>
    </w:p>
    <w:p>
      <w:pPr>
        <w:jc w:val="left"/>
        <w:spacing w:line="360" w:lineRule="auto" w:after="140"/>
      </w:pPr>
      <w:r>
        <w:rPr>
          <w:rFonts w:ascii="Times New Roman" w:hAnsi="Times New Roman"/>
          <w:sz w:val="22"/>
          <w:szCs w:val="22"/>
        </w:rPr>
        <w:t xml:space="preserve">5. Tailwind CSS Utility-First Styling Framework - Tailwind Labs (2024). Tailwind CSS v3.4 Documentation. Available online: </w:t>
      </w:r>
      <w:hyperlink r:id="rIdHL27" w:history="1">
        <w:r>
          <w:rPr>
            <w:rStyle w:val="Hyperlink"/>
            <w:rFonts w:ascii="Times New Roman" w:hAnsi="Times New Roman"/>
            <w:color w:val="0563C1"/>
            <w:u w:val="single"/>
            <w:sz w:val="22"/>
            <w:szCs w:val="22"/>
          </w:rPr>
          <w:t xml:space="preserve">https://tailwindcss.com/docs</w:t>
        </w:r>
      </w:hyperlink>
    </w:p>
    <w:p>
      <w:pPr>
        <w:jc w:val="left"/>
        <w:spacing w:line="360" w:lineRule="auto" w:after="140"/>
      </w:pPr>
      <w:r>
        <w:rPr>
          <w:rFonts w:ascii="Times New Roman" w:hAnsi="Times New Roman"/>
          <w:sz w:val="22"/>
          <w:szCs w:val="22"/>
        </w:rPr>
        <w:t xml:space="preserve">6. Web Content Accessibility Guidelines (WCAG) 2.1 - W3C (2018). WCAG 2.1 Recommendations. Available online: </w:t>
      </w:r>
      <w:hyperlink r:id="rIdHL28" w:history="1">
        <w:r>
          <w:rPr>
            <w:rStyle w:val="Hyperlink"/>
            <w:rFonts w:ascii="Times New Roman" w:hAnsi="Times New Roman"/>
            <w:color w:val="0563C1"/>
            <w:u w:val="single"/>
            <w:sz w:val="22"/>
            <w:szCs w:val="22"/>
          </w:rPr>
          <w:t xml:space="preserve">https://www.w3.org/TR/WCAG21/</w:t>
        </w:r>
      </w:hyperlink>
    </w:p>
    <w:p>
      <w:pPr>
        <w:jc w:val="left"/>
        <w:spacing w:line="360" w:lineRule="auto" w:after="140"/>
      </w:pPr>
      <w:r>
        <w:rPr>
          <w:rFonts w:ascii="Times New Roman" w:hAnsi="Times New Roman"/>
          <w:sz w:val="22"/>
          <w:szCs w:val="22"/>
        </w:rPr>
        <w:t xml:space="preserve">7. TypeScript Language Specification - Microsoft Corporation (2024). TypeScript Documentation. Available online: </w:t>
      </w:r>
      <w:hyperlink r:id="rIdHL29" w:history="1">
        <w:r>
          <w:rPr>
            <w:rStyle w:val="Hyperlink"/>
            <w:rFonts w:ascii="Times New Roman" w:hAnsi="Times New Roman"/>
            <w:color w:val="0563C1"/>
            <w:u w:val="single"/>
            <w:sz w:val="22"/>
            <w:szCs w:val="22"/>
          </w:rPr>
          <w:t xml:space="preserve">https://www.typescriptlang.org/docs/</w:t>
        </w:r>
      </w:hyperlink>
    </w:p>
    <w:p>
      <w:pPr>
        <w:jc w:val="both"/>
        <w:spacing w:line="360" w:lineRule="auto" w:after="140"/>
      </w:pPr>
      <w:r>
        <w:rPr>
          <w:rFonts w:ascii="Times New Roman" w:hAnsi="Times New Roman"/>
          <w:sz w:val="22"/>
          <w:szCs w:val="22"/>
        </w:rPr>
        <w:t xml:space="preserve">8. Pricing and the Psychology of Consumption - Gourville, J. T. &amp; Soman, D. (2002). Harvard Business Review, Vol. 80, No. 9, pp. 90–96.</w:t>
      </w:r>
    </w:p>
    <w:p>
      <w:pPr>
        <w:jc w:val="center"/>
        <w:spacing w:line="240" w:lineRule="auto" w:after="80"/>
      </w:pPr>
      <w:r>
        <w:rPr>
          <w:rFonts w:ascii="Times New Roman" w:hAnsi="Times New Roman"/>
          <w:sz w:val="22"/>
          <w:szCs w:val="22"/>
          <w:b/>
          <w:bCs/>
        </w:rPr>
        <w:t xml:space="preserve">32</w:t>
      </w:r>
    </w:p>
    <w:p>
      <w:pPr>
        <w:spacing w:after="0"/>
      </w:pPr>
      <w:r>
        <w:br w:type="page"/>
      </w:r>
    </w:p>
    <w:p>
      <w:pPr>
        <w:jc w:val="center"/>
        <w:spacing w:line="360" w:lineRule="auto" w:after="200"/>
      </w:pPr>
      <w:r>
        <w:rPr>
          <w:rFonts w:ascii="Times New Roman" w:hAnsi="Times New Roman"/>
          <w:sz w:val="32"/>
          <w:szCs w:val="32"/>
          <w:b/>
          <w:bCs/>
          <w:u w:val="single"/>
        </w:rPr>
        <w:t xml:space="preserve">REFERENCES &amp; BIBLIOGRAPHY (CONTINUED)</w:t>
      </w:r>
    </w:p>
    <w:p>
      <w:pPr>
        <w:jc w:val="both"/>
        <w:spacing w:line="360" w:lineRule="auto" w:after="140"/>
      </w:pPr>
      <w:r>
        <w:rPr>
          <w:rFonts w:ascii="Times New Roman" w:hAnsi="Times New Roman"/>
          <w:sz w:val="22"/>
          <w:szCs w:val="22"/>
        </w:rPr>
        <w:t xml:space="preserve">9. Digital Payment Innovations and Subscription Fatigue - Bhattacharyya, S. &amp; Sharma, R. (2021). Int. Journal of Financial Studies, Vol. 9, Issue 3, pp. 45–58.</w:t>
      </w:r>
    </w:p>
    <w:p>
      <w:pPr>
        <w:jc w:val="left"/>
        <w:spacing w:line="360" w:lineRule="auto" w:after="140"/>
      </w:pPr>
      <w:r>
        <w:rPr>
          <w:rFonts w:ascii="Times New Roman" w:hAnsi="Times New Roman"/>
          <w:sz w:val="22"/>
          <w:szCs w:val="22"/>
        </w:rPr>
        <w:t xml:space="preserve">10. date-fns: Modern JavaScript Date Utility Library - Leschev, S. et al. (2024). Available online: </w:t>
      </w:r>
      <w:hyperlink r:id="rIdHL30" w:history="1">
        <w:r>
          <w:rPr>
            <w:rStyle w:val="Hyperlink"/>
            <w:rFonts w:ascii="Times New Roman" w:hAnsi="Times New Roman"/>
            <w:color w:val="0563C1"/>
            <w:u w:val="single"/>
            <w:sz w:val="22"/>
            <w:szCs w:val="22"/>
          </w:rPr>
          <w:t xml:space="preserve">https://date-fns.org/docs/Getting-Started</w:t>
        </w:r>
      </w:hyperlink>
    </w:p>
    <w:p>
      <w:pPr>
        <w:jc w:val="left"/>
        <w:spacing w:line="360" w:lineRule="auto" w:after="140"/>
      </w:pPr>
      <w:r>
        <w:rPr>
          <w:rFonts w:ascii="Times New Roman" w:hAnsi="Times New Roman"/>
          <w:sz w:val="22"/>
          <w:szCs w:val="22"/>
        </w:rPr>
        <w:t xml:space="preserve">11. Recharts: Redefined Chart Library Built on React and SVG - Recharts Community (2024). Available online: </w:t>
      </w:r>
      <w:hyperlink r:id="rIdHL31" w:history="1">
        <w:r>
          <w:rPr>
            <w:rStyle w:val="Hyperlink"/>
            <w:rFonts w:ascii="Times New Roman" w:hAnsi="Times New Roman"/>
            <w:color w:val="0563C1"/>
            <w:u w:val="single"/>
            <w:sz w:val="22"/>
            <w:szCs w:val="22"/>
          </w:rPr>
          <w:t xml:space="preserve">https://recharts.org/en-US/api</w:t>
        </w:r>
      </w:hyperlink>
    </w:p>
    <w:p>
      <w:pPr>
        <w:jc w:val="left"/>
        <w:spacing w:line="360" w:lineRule="auto" w:after="140"/>
      </w:pPr>
      <w:r>
        <w:rPr>
          <w:rFonts w:ascii="Times New Roman" w:hAnsi="Times New Roman"/>
          <w:sz w:val="22"/>
          <w:szCs w:val="22"/>
        </w:rPr>
        <w:t xml:space="preserve">12. Zod: TypeScript-First Schema Declaration and Validation - Colosimo, C. (2024). Available online: </w:t>
      </w:r>
      <w:hyperlink r:id="rIdHL32" w:history="1">
        <w:r>
          <w:rPr>
            <w:rStyle w:val="Hyperlink"/>
            <w:rFonts w:ascii="Times New Roman" w:hAnsi="Times New Roman"/>
            <w:color w:val="0563C1"/>
            <w:u w:val="single"/>
            <w:sz w:val="22"/>
            <w:szCs w:val="22"/>
          </w:rPr>
          <w:t xml:space="preserve">https://zod.dev</w:t>
        </w:r>
      </w:hyperlink>
    </w:p>
    <w:p>
      <w:pPr>
        <w:jc w:val="both"/>
        <w:spacing w:line="360" w:lineRule="auto" w:after="140"/>
      </w:pPr>
      <w:r>
        <w:rPr>
          <w:rFonts w:ascii="Times New Roman" w:hAnsi="Times New Roman"/>
          <w:sz w:val="22"/>
          <w:szCs w:val="22"/>
        </w:rPr>
        <w:t xml:space="preserve">13. Software Engineering: A Practitioner's Approach (9th Ed.) - Pressman, R. S. &amp; Maxim, B. R. (2020). McGraw-Hill Education.</w:t>
      </w:r>
    </w:p>
    <w:p>
      <w:pPr>
        <w:jc w:val="both"/>
        <w:spacing w:line="360" w:lineRule="auto" w:after="140"/>
      </w:pPr>
      <w:r>
        <w:rPr>
          <w:rFonts w:ascii="Times New Roman" w:hAnsi="Times New Roman"/>
          <w:sz w:val="22"/>
          <w:szCs w:val="22"/>
        </w:rPr>
        <w:t xml:space="preserve">14. Database System Concepts (7th Ed.) - Silberschatz, A., Korth, H. F. &amp; Sudarshan, S. (2019). McGraw-Hill Higher Education.</w:t>
      </w:r>
    </w:p>
    <w:p>
      <w:pPr>
        <w:jc w:val="center"/>
        <w:spacing w:line="360" w:lineRule="auto" w:after="140"/>
      </w:pPr>
      <w:r>
        <w:rPr>
          <w:rFonts w:ascii="Times New Roman" w:hAnsi="Times New Roman"/>
          <w:sz w:val="22"/>
          <w:szCs w:val="22"/>
          <w:b/>
          <w:bCs/>
        </w:rPr>
        <w:t xml:space="preserve">33</w:t>
      </w:r>
    </w:p>
    <w:sectPr>
      <w:pgSz w:w="11906" w:h="16838"/>
      <w:pgMar w:top="1134" w:right="1134" w:bottom="1134" w:left="1134" w:header="708" w:footer="708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styles.xml><?xml version="1.0" encoding="utf-8"?>
<w:styles xmlns:w="http://schemas.openxmlformats.org/wordprocessingml/2006/main">
  <w:style w:type="character" w:styleId="Hyperlink">
    <w:name w:val="Hyperlink"/>
    <w:rPr>
      <w:color w:val="0563C1"/>
      <w:u w:val="single"/>
    </w:rPr>
  </w:style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line="360" w:lineRule="auto" w:after="140"/>
        <w:jc w:val="both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
  <Relationship Id="rIdHL23" Type="http://schemas.openxmlformats.org/officeDocument/2006/relationships/hyperlink" Target="https://nextjs.org/docs" TargetMode="External"/>
<Relationship Id="rIdHL24" Type="http://schemas.openxmlformats.org/officeDocument/2006/relationships/hyperlink" Target="https://react.dev/reference/react" TargetMode="External"/>
<Relationship Id="rIdHL25" Type="http://schemas.openxmlformats.org/officeDocument/2006/relationships/hyperlink" Target="https://www.postgresql.org/docs/current/ddl-rowsecurity.html" TargetMode="External"/>
<Relationship Id="rIdHL26" Type="http://schemas.openxmlformats.org/officeDocument/2006/relationships/hyperlink" Target="https://supabase.com/docs" TargetMode="External"/>
<Relationship Id="rIdHL27" Type="http://schemas.openxmlformats.org/officeDocument/2006/relationships/hyperlink" Target="https://tailwindcss.com/docs" TargetMode="External"/>
<Relationship Id="rIdHL28" Type="http://schemas.openxmlformats.org/officeDocument/2006/relationships/hyperlink" Target="https://www.w3.org/TR/WCAG21/" TargetMode="External"/>
<Relationship Id="rIdHL29" Type="http://schemas.openxmlformats.org/officeDocument/2006/relationships/hyperlink" Target="https://www.typescriptlang.org/docs/" TargetMode="External"/>
<Relationship Id="rIdHL30" Type="http://schemas.openxmlformats.org/officeDocument/2006/relationships/hyperlink" Target="https://date-fns.org/docs/Getting-Started" TargetMode="External"/>
<Relationship Id="rIdHL31" Type="http://schemas.openxmlformats.org/officeDocument/2006/relationships/hyperlink" Target="https://recharts.org/en-US/api" TargetMode="External"/>
<Relationship Id="rIdHL32" Type="http://schemas.openxmlformats.org/officeDocument/2006/relationships/hyperlink" Target="https://zod.dev" TargetMode="External"/>

</Relationships>
</file>

<file path=docProps/core.xml><?xml version="1.0" encoding="utf-8"?>
<cp:coreProperties xmlns:cp="http://schemas.openxmlformats.org/package/2006/metadata/core-properties" xmlns:dc="http://purl.org/dc/elements/1.1/">
  <dc:title>VAULTY Minor Project Report (BCA-508)</dc:title>
  <dc:creator>Lakshya Singh</dc:creator>
</cp:coreProperties>
</file>