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360" w:lineRule="auto" w:after="200"/>
      </w:pPr>
      <w:r>
        <w:rPr>
          <w:rFonts w:ascii="Times New Roman" w:hAnsi="Times New Roman"/>
          <w:sz w:val="32"/>
          <w:szCs w:val="32"/>
          <w:b/>
          <w:bCs/>
          <w:u w:val="single"/>
        </w:rPr>
        <w:t xml:space="preserve">CHAPTER 2: LITERATURE REVIEW</w:t>
      </w:r>
    </w:p>
    <w:p>
      <w:pPr>
        <w:jc w:val="both"/>
        <w:spacing w:line="360" w:lineRule="auto" w:after="100"/>
      </w:pPr>
      <w:r>
        <w:rPr>
          <w:rFonts w:ascii="Times New Roman" w:hAnsi="Times New Roman"/>
          <w:sz w:val="26"/>
          <w:szCs w:val="26"/>
          <w:b/>
          <w:bCs/>
        </w:rPr>
        <w:t xml:space="preserve">2.1 Evolution of Subscription and Recurring Expense Tracking</w:t>
      </w:r>
    </w:p>
    <w:p>
      <w:pPr>
        <w:jc w:val="both"/>
        <w:spacing w:line="360" w:lineRule="auto" w:after="100"/>
      </w:pPr>
      <w:r>
        <w:rPr>
          <w:rFonts w:ascii="Times New Roman" w:hAnsi="Times New Roman"/>
          <w:sz w:val="24"/>
          <w:szCs w:val="24"/>
        </w:rPr>
        <w:t xml:space="preserve">Over the past two decades, personal financial accounting has evolved through several distinct paradigms:</w:t>
      </w:r>
    </w:p>
    <w:p>
      <w:pPr>
        <w:jc w:val="both"/>
        <w:spacing w:line="360" w:lineRule="auto" w:after="100"/>
        <w:ind w:firstLine="240"/>
      </w:pPr>
      <w:r>
        <w:rPr>
          <w:rFonts w:ascii="Times New Roman" w:hAnsi="Times New Roman"/>
          <w:sz w:val="24"/>
          <w:szCs w:val="24"/>
        </w:rPr>
        <w:t xml:space="preserve">• Manual Physical Ledgers (Pre-Digital Era): Historically, household budgeting relied on physical register books, cash envelopes, and handwritten expense sheets. While effective for localized cash transactions, this methodology lacks automation, offers zero foresight into future recurring debits, and completely fails to scale in modern digital transaction environments.</w:t>
      </w:r>
    </w:p>
    <w:p>
      <w:pPr>
        <w:jc w:val="both"/>
        <w:spacing w:line="360" w:lineRule="auto" w:after="100"/>
        <w:ind w:firstLine="240"/>
      </w:pPr>
      <w:r>
        <w:rPr>
          <w:rFonts w:ascii="Times New Roman" w:hAnsi="Times New Roman"/>
          <w:sz w:val="24"/>
          <w:szCs w:val="24"/>
        </w:rPr>
        <w:t xml:space="preserve">• Spreadsheet-Based Tracking (Excel &amp; Google Sheets): In the early 2000s, spreadsheet software became the standard digital alternative for budget tracking. Spreadsheets provide computational flexibility through custom formulas (SUM, VLOOKUP). However, user research reveals major friction points: manual entry is time-consuming, spreadsheet mobile experiences are clunky, formulas frequently break when modifying rows, and spreadsheets lack real-time date calculation mechanisms to roll forward renewals or alert users about expiring trials.</w:t>
      </w:r>
    </w:p>
    <w:p>
      <w:pPr>
        <w:jc w:val="both"/>
        <w:spacing w:line="360" w:lineRule="auto" w:after="160"/>
        <w:ind w:firstLine="240"/>
      </w:pPr>
      <w:r>
        <w:rPr>
          <w:rFonts w:ascii="Times New Roman" w:hAnsi="Times New Roman"/>
          <w:sz w:val="24"/>
          <w:szCs w:val="24"/>
        </w:rPr>
        <w:t xml:space="preserve">• Automated Banking Aggregators: Over the last decade, fintech solutions emerged that connect directly to banking APIs via Open Banking frameworks or SMS scraping. While automated, these applications exhibit severe security and privacy drawbacks. Users are increasingly uncomfortable granting third-party access to their primary bank accounts or personal text messages. Furthermore, banking aggregators reflect debits after they have already cleared the account, providing retrospective accounting rather than proactive prevention of unwanted renewals.</w:t>
      </w:r>
    </w:p>
    <w:p>
      <w:pPr>
        <w:jc w:val="center"/>
        <w:spacing w:line="240" w:lineRule="auto" w:after="80"/>
      </w:pPr>
      <w:r>
        <w:rPr>
          <w:rFonts w:ascii="Times New Roman" w:hAnsi="Times New Roman"/>
          <w:sz w:val="22"/>
          <w:szCs w:val="22"/>
          <w:b/>
          <w:bCs/>
        </w:rPr>
        <w:t xml:space="preserve">11</w:t>
      </w:r>
    </w:p>
    <w:p>
      <w:pPr>
        <w:spacing w:after="0"/>
      </w:pPr>
      <w:r>
        <w:br w:type="page"/>
      </w:r>
    </w:p>
    <w:p>
      <w:pPr>
        <w:jc w:val="both"/>
        <w:spacing w:line="360" w:lineRule="auto" w:after="100"/>
      </w:pPr>
      <w:r>
        <w:rPr>
          <w:rFonts w:ascii="Times New Roman" w:hAnsi="Times New Roman"/>
          <w:sz w:val="26"/>
          <w:szCs w:val="26"/>
          <w:b/>
          <w:bCs/>
        </w:rPr>
        <w:t xml:space="preserve">2.2 Shift Towards User-Centric Spend Intelligence Systems</w:t>
      </w:r>
    </w:p>
    <w:p>
      <w:pPr>
        <w:jc w:val="both"/>
        <w:spacing w:line="360" w:lineRule="auto" w:after="140"/>
        <w:ind w:firstLine="480"/>
      </w:pPr>
      <w:r>
        <w:rPr>
          <w:rFonts w:ascii="Times New Roman" w:hAnsi="Times New Roman"/>
          <w:sz w:val="24"/>
          <w:szCs w:val="24"/>
        </w:rPr>
        <w:t xml:space="preserve">Recent academic literature and industry analyses emphasize a shift toward "Spend Intelligence" rather than mere expense logging. Research demonstrates that the psychological phenomenon known as "subscription blindness" occurs when micro-payments (e.g., ₹149, ₹299, ₹649) recur silently in the background. Because each debit appears relatively modest in isolation, consumers fail to realize their cumulative monthly financial impact.</w:t>
      </w:r>
    </w:p>
    <w:p>
      <w:pPr>
        <w:jc w:val="both"/>
        <w:spacing w:line="360" w:lineRule="auto" w:after="160"/>
        <w:ind w:firstLine="480"/>
      </w:pPr>
      <w:r>
        <w:rPr>
          <w:rFonts w:ascii="Times New Roman" w:hAnsi="Times New Roman"/>
          <w:sz w:val="24"/>
          <w:szCs w:val="24"/>
        </w:rPr>
        <w:t xml:space="preserve">A critical requirement identified in modern financial software is normalized burn-rate visibility. Users require a single, unpolluted number representing their active monthly commitments, irrespective of whether individual plans bill weekly, monthly, quarterly, or annually. Additionally, consumer advocacy studies highlight the "Trial Trap"—a business model wherein service providers rely on user forgetfulness to convert promotional free trials into full-priced ongoing liabilities. An effective software solution must prioritize proactive reminders over post-facto balance sheets.</w:t>
      </w:r>
    </w:p>
    <w:p>
      <w:pPr>
        <w:jc w:val="both"/>
        <w:spacing w:line="360" w:lineRule="auto" w:after="100"/>
      </w:pPr>
      <w:r>
        <w:rPr>
          <w:rFonts w:ascii="Times New Roman" w:hAnsi="Times New Roman"/>
          <w:sz w:val="26"/>
          <w:szCs w:val="26"/>
          <w:b/>
          <w:bCs/>
        </w:rPr>
        <w:t xml:space="preserve">2.3 Role of Modern Web Technologies and Client-Side Computation</w:t>
      </w:r>
    </w:p>
    <w:p>
      <w:pPr>
        <w:jc w:val="both"/>
        <w:spacing w:line="360" w:lineRule="auto" w:after="160"/>
        <w:ind w:firstLine="480"/>
      </w:pPr>
      <w:r>
        <w:rPr>
          <w:rFonts w:ascii="Times New Roman" w:hAnsi="Times New Roman"/>
          <w:sz w:val="24"/>
          <w:szCs w:val="24"/>
        </w:rPr>
        <w:t xml:space="preserve">The development of modern component-driven web frameworks has fundamentally reshaped how financial dashboards are built. Next.js 14 and React Server Components enable instant server-rendered pages combined with snappy client reactivity. Tailwind CSS provides custom design tokens without heavy stylesheet runtime overhead, and Supabase PostgreSQL with Row Level Security (RLS) offers kernel-level data isolation directly at the database engine layer.</w:t>
      </w:r>
    </w:p>
    <w:p>
      <w:pPr>
        <w:jc w:val="center"/>
        <w:spacing w:line="240" w:lineRule="auto" w:after="80"/>
      </w:pPr>
      <w:r>
        <w:rPr>
          <w:rFonts w:ascii="Times New Roman" w:hAnsi="Times New Roman"/>
          <w:sz w:val="22"/>
          <w:szCs w:val="22"/>
          <w:b/>
          <w:bCs/>
        </w:rPr>
        <w:t xml:space="preserve">12</w:t>
      </w:r>
    </w:p>
    <w:p>
      <w:pPr>
        <w:spacing w:after="0"/>
      </w:pPr>
      <w:r>
        <w:br w:type="page"/>
      </w:r>
    </w:p>
    <w:p>
      <w:pPr>
        <w:jc w:val="both"/>
        <w:spacing w:line="360" w:lineRule="auto" w:after="100"/>
      </w:pPr>
      <w:r>
        <w:rPr>
          <w:rFonts w:ascii="Times New Roman" w:hAnsi="Times New Roman"/>
          <w:sz w:val="26"/>
          <w:szCs w:val="26"/>
          <w:b/>
          <w:bCs/>
        </w:rPr>
        <w:t xml:space="preserve">2.4 Comparative Analysis of Existing Solutions</w:t>
      </w:r>
    </w:p>
    <w:p>
      <w:pPr>
        <w:jc w:val="both"/>
        <w:spacing w:line="360" w:lineRule="auto" w:after="100"/>
      </w:pPr>
      <w:r>
        <w:rPr>
          <w:rFonts w:ascii="Times New Roman" w:hAnsi="Times New Roman"/>
          <w:sz w:val="24"/>
          <w:szCs w:val="24"/>
        </w:rPr>
        <w:t xml:space="preserve">To evaluate market gaps, a comparative matrix was compiled analyzing conventional tools against Vaulty:</w:t>
      </w:r>
    </w:p>
    <w:tbl>
      <w:tblPr>
        <w:tblW w:w="0" w:type="auto"/>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60" w:type="dxa"/>
          <w:bottom w:w="120" w:type="dxa"/>
          <w:right w:w="160" w:type="dxa"/>
        </w:tblCellMar>
      </w:tblPr>
      <w:tr>
        <w:tc>
          <w:tcPr>
            <w:tcW w:w="2200" w:type="dxa"/>
            <w:shd w:val="clear" w:color="auto" w:fill="F0F0F0"/>
          </w:tcPr>
          <w:p>
            <w:pPr>
              <w:jc w:val="center"/>
              <w:spacing w:line="240" w:lineRule="auto" w:after="0"/>
            </w:pPr>
            <w:r>
              <w:rPr>
                <w:b/>
                <w:sz w:val="21"/>
              </w:rPr>
              <w:t>Feature</w:t>
            </w:r>
          </w:p>
        </w:tc>
        <w:tc>
          <w:tcPr>
            <w:tcW w:w="2400" w:type="dxa"/>
            <w:shd w:val="clear" w:color="auto" w:fill="F0F0F0"/>
          </w:tcPr>
          <w:p>
            <w:pPr>
              <w:jc w:val="center"/>
              <w:spacing w:line="240" w:lineRule="auto" w:after="0"/>
            </w:pPr>
            <w:r>
              <w:rPr>
                <w:b/>
                <w:sz w:val="21"/>
              </w:rPr>
              <w:t>Manual Spreadsheets</w:t>
            </w:r>
          </w:p>
        </w:tc>
        <w:tc>
          <w:tcPr>
            <w:tcW w:w="2400" w:type="dxa"/>
            <w:shd w:val="clear" w:color="auto" w:fill="F0F0F0"/>
          </w:tcPr>
          <w:p>
            <w:pPr>
              <w:jc w:val="center"/>
              <w:spacing w:line="240" w:lineRule="auto" w:after="0"/>
            </w:pPr>
            <w:r>
              <w:rPr>
                <w:b/>
                <w:sz w:val="21"/>
              </w:rPr>
              <w:t>Banking Aggregators</w:t>
            </w:r>
          </w:p>
        </w:tc>
        <w:tc>
          <w:tcPr>
            <w:tcW w:w="2400" w:type="dxa"/>
            <w:shd w:val="clear" w:color="auto" w:fill="F0F0F0"/>
          </w:tcPr>
          <w:p>
            <w:pPr>
              <w:jc w:val="center"/>
              <w:spacing w:line="240" w:lineRule="auto" w:after="0"/>
            </w:pPr>
            <w:r>
              <w:rPr>
                <w:b/>
                <w:sz w:val="21"/>
              </w:rPr>
              <w:t>Vaulty (Proposed)</w:t>
            </w:r>
          </w:p>
        </w:tc>
      </w:tr>
      <w:tr>
        <w:tc>
          <w:tcPr>
            <w:tcW w:w="2200" w:type="dxa"/>
          </w:tcPr>
          <w:p>
            <w:pPr>
              <w:jc w:val="left"/>
              <w:spacing w:line="240" w:lineRule="auto" w:after="0"/>
            </w:pPr>
            <w:r>
              <w:rPr>
                <w:sz w:val="21"/>
              </w:rPr>
              <w:t>Data Privacy</w:t>
            </w:r>
          </w:p>
        </w:tc>
        <w:tc>
          <w:tcPr>
            <w:tcW w:w="2400" w:type="dxa"/>
          </w:tcPr>
          <w:p>
            <w:pPr>
              <w:jc w:val="left"/>
              <w:spacing w:line="240" w:lineRule="auto" w:after="0"/>
            </w:pPr>
            <w:r>
              <w:rPr>
                <w:sz w:val="21"/>
              </w:rPr>
              <w:t>High (Local)</w:t>
            </w:r>
          </w:p>
        </w:tc>
        <w:tc>
          <w:tcPr>
            <w:tcW w:w="2400" w:type="dxa"/>
          </w:tcPr>
          <w:p>
            <w:pPr>
              <w:jc w:val="left"/>
              <w:spacing w:line="240" w:lineRule="auto" w:after="0"/>
            </w:pPr>
            <w:r>
              <w:rPr>
                <w:sz w:val="21"/>
              </w:rPr>
              <w:t>Low (Reads SMS/Bank)</w:t>
            </w:r>
          </w:p>
        </w:tc>
        <w:tc>
          <w:tcPr>
            <w:tcW w:w="2400" w:type="dxa"/>
          </w:tcPr>
          <w:p>
            <w:pPr>
              <w:jc w:val="left"/>
              <w:spacing w:line="240" w:lineRule="auto" w:after="0"/>
            </w:pPr>
            <w:r>
              <w:rPr>
                <w:sz w:val="21"/>
              </w:rPr>
              <w:t>High (Zero bank access)</w:t>
            </w:r>
          </w:p>
        </w:tc>
      </w:tr>
      <w:tr>
        <w:tc>
          <w:tcPr>
            <w:tcW w:w="2200" w:type="dxa"/>
          </w:tcPr>
          <w:p>
            <w:pPr>
              <w:jc w:val="left"/>
              <w:spacing w:line="240" w:lineRule="auto" w:after="0"/>
            </w:pPr>
            <w:r>
              <w:rPr>
                <w:sz w:val="21"/>
              </w:rPr>
              <w:t>Normalized Bleed</w:t>
            </w:r>
          </w:p>
        </w:tc>
        <w:tc>
          <w:tcPr>
            <w:tcW w:w="2400" w:type="dxa"/>
          </w:tcPr>
          <w:p>
            <w:pPr>
              <w:jc w:val="left"/>
              <w:spacing w:line="240" w:lineRule="auto" w:after="0"/>
            </w:pPr>
            <w:r>
              <w:rPr>
                <w:sz w:val="21"/>
              </w:rPr>
              <w:t>Manual formula</w:t>
            </w:r>
          </w:p>
        </w:tc>
        <w:tc>
          <w:tcPr>
            <w:tcW w:w="2400" w:type="dxa"/>
          </w:tcPr>
          <w:p>
            <w:pPr>
              <w:jc w:val="left"/>
              <w:spacing w:line="240" w:lineRule="auto" w:after="0"/>
            </w:pPr>
            <w:r>
              <w:rPr>
                <w:sz w:val="21"/>
              </w:rPr>
              <w:t>Rarely normalized</w:t>
            </w:r>
          </w:p>
        </w:tc>
        <w:tc>
          <w:tcPr>
            <w:tcW w:w="2400" w:type="dxa"/>
          </w:tcPr>
          <w:p>
            <w:pPr>
              <w:jc w:val="left"/>
              <w:spacing w:line="240" w:lineRule="auto" w:after="0"/>
            </w:pPr>
            <w:r>
              <w:rPr>
                <w:sz w:val="21"/>
              </w:rPr>
              <w:t>Automated (lib/calc.ts)</w:t>
            </w:r>
          </w:p>
        </w:tc>
      </w:tr>
      <w:tr>
        <w:tc>
          <w:tcPr>
            <w:tcW w:w="2200" w:type="dxa"/>
          </w:tcPr>
          <w:p>
            <w:pPr>
              <w:jc w:val="left"/>
              <w:spacing w:line="240" w:lineRule="auto" w:after="0"/>
            </w:pPr>
            <w:r>
              <w:rPr>
                <w:sz w:val="21"/>
              </w:rPr>
              <w:t>Zombie Detection</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Automated (&gt;30 days)</w:t>
            </w:r>
          </w:p>
        </w:tc>
      </w:tr>
      <w:tr>
        <w:tc>
          <w:tcPr>
            <w:tcW w:w="2200" w:type="dxa"/>
          </w:tcPr>
          <w:p>
            <w:pPr>
              <w:jc w:val="left"/>
              <w:spacing w:line="240" w:lineRule="auto" w:after="0"/>
            </w:pPr>
            <w:r>
              <w:rPr>
                <w:sz w:val="21"/>
              </w:rPr>
              <w:t>Trial Trap Radar</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SMS-based / Post debit</w:t>
            </w:r>
          </w:p>
        </w:tc>
        <w:tc>
          <w:tcPr>
            <w:tcW w:w="2400" w:type="dxa"/>
          </w:tcPr>
          <w:p>
            <w:pPr>
              <w:jc w:val="left"/>
              <w:spacing w:line="240" w:lineRule="auto" w:after="0"/>
            </w:pPr>
            <w:r>
              <w:rPr>
                <w:sz w:val="21"/>
              </w:rPr>
              <w:t>Dedicated countdown radar</w:t>
            </w:r>
          </w:p>
        </w:tc>
      </w:tr>
      <w:tr>
        <w:tc>
          <w:tcPr>
            <w:tcW w:w="2200" w:type="dxa"/>
          </w:tcPr>
          <w:p>
            <w:pPr>
              <w:jc w:val="left"/>
              <w:spacing w:line="240" w:lineRule="auto" w:after="0"/>
            </w:pPr>
            <w:r>
              <w:rPr>
                <w:sz w:val="21"/>
              </w:rPr>
              <w:t>Preset Engine</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Limited</w:t>
            </w:r>
          </w:p>
        </w:tc>
        <w:tc>
          <w:tcPr>
            <w:tcW w:w="2400" w:type="dxa"/>
          </w:tcPr>
          <w:p>
            <w:pPr>
              <w:jc w:val="left"/>
              <w:spacing w:line="240" w:lineRule="auto" w:after="0"/>
            </w:pPr>
            <w:r>
              <w:rPr>
                <w:sz w:val="21"/>
              </w:rPr>
              <w:t>11+ Popular Brand Presets</w:t>
            </w:r>
          </w:p>
        </w:tc>
      </w:tr>
      <w:tr>
        <w:tc>
          <w:tcPr>
            <w:tcW w:w="2200" w:type="dxa"/>
          </w:tcPr>
          <w:p>
            <w:pPr>
              <w:jc w:val="left"/>
              <w:spacing w:line="240" w:lineRule="auto" w:after="0"/>
            </w:pPr>
            <w:r>
              <w:rPr>
                <w:sz w:val="21"/>
              </w:rPr>
              <w:t>Offline Resilience</w:t>
            </w:r>
          </w:p>
        </w:tc>
        <w:tc>
          <w:tcPr>
            <w:tcW w:w="2400" w:type="dxa"/>
          </w:tcPr>
          <w:p>
            <w:pPr>
              <w:jc w:val="left"/>
              <w:spacing w:line="240" w:lineRule="auto" w:after="0"/>
            </w:pPr>
            <w:r>
              <w:rPr>
                <w:sz w:val="21"/>
              </w:rPr>
              <w:t>File-based only</w:t>
            </w:r>
          </w:p>
        </w:tc>
        <w:tc>
          <w:tcPr>
            <w:tcW w:w="2400" w:type="dxa"/>
          </w:tcPr>
          <w:p>
            <w:pPr>
              <w:jc w:val="left"/>
              <w:spacing w:line="240" w:lineRule="auto" w:after="0"/>
            </w:pPr>
            <w:r>
              <w:rPr>
                <w:sz w:val="21"/>
              </w:rPr>
              <w:t>Inoperable offline</w:t>
            </w:r>
          </w:p>
        </w:tc>
        <w:tc>
          <w:tcPr>
            <w:tcW w:w="2400" w:type="dxa"/>
          </w:tcPr>
          <w:p>
            <w:pPr>
              <w:jc w:val="left"/>
              <w:spacing w:line="240" w:lineRule="auto" w:after="0"/>
            </w:pPr>
            <w:r>
              <w:rPr>
                <w:sz w:val="21"/>
              </w:rPr>
              <w:t>Dual (Supabase + Local)</w:t>
            </w:r>
          </w:p>
        </w:tc>
      </w:tr>
      <w:tr>
        <w:tc>
          <w:tcPr>
            <w:tcW w:w="2200" w:type="dxa"/>
          </w:tcPr>
          <w:p>
            <w:pPr>
              <w:jc w:val="left"/>
              <w:spacing w:line="240" w:lineRule="auto" w:after="0"/>
            </w:pPr>
            <w:r>
              <w:rPr>
                <w:sz w:val="21"/>
              </w:rPr>
              <w:t>Cancel Portals</w:t>
            </w:r>
          </w:p>
        </w:tc>
        <w:tc>
          <w:tcPr>
            <w:tcW w:w="2400" w:type="dxa"/>
          </w:tcPr>
          <w:p>
            <w:pPr>
              <w:jc w:val="left"/>
              <w:spacing w:line="240" w:lineRule="auto" w:after="0"/>
            </w:pPr>
            <w:r>
              <w:rPr>
                <w:sz w:val="21"/>
              </w:rPr>
              <w:t>None</w:t>
            </w:r>
          </w:p>
        </w:tc>
        <w:tc>
          <w:tcPr>
            <w:tcW w:w="2400" w:type="dxa"/>
          </w:tcPr>
          <w:p>
            <w:pPr>
              <w:jc w:val="left"/>
              <w:spacing w:line="240" w:lineRule="auto" w:after="0"/>
            </w:pPr>
            <w:r>
              <w:rPr>
                <w:sz w:val="21"/>
              </w:rPr>
              <w:t>Paid Concierge</w:t>
            </w:r>
          </w:p>
        </w:tc>
        <w:tc>
          <w:tcPr>
            <w:tcW w:w="2400" w:type="dxa"/>
          </w:tcPr>
          <w:p>
            <w:pPr>
              <w:jc w:val="left"/>
              <w:spacing w:line="240" w:lineRule="auto" w:after="0"/>
            </w:pPr>
            <w:r>
              <w:rPr>
                <w:sz w:val="21"/>
              </w:rPr>
              <w:t>Direct deep links</w:t>
            </w:r>
          </w:p>
        </w:tc>
      </w:tr>
      <w:tr>
        <w:tc>
          <w:tcPr>
            <w:tcW w:w="2200" w:type="dxa"/>
          </w:tcPr>
          <w:p>
            <w:pPr>
              <w:jc w:val="left"/>
              <w:spacing w:line="240" w:lineRule="auto" w:after="0"/>
            </w:pPr>
            <w:r>
              <w:rPr>
                <w:sz w:val="21"/>
              </w:rPr>
              <w:t>Platform Cost</w:t>
            </w:r>
          </w:p>
        </w:tc>
        <w:tc>
          <w:tcPr>
            <w:tcW w:w="2400" w:type="dxa"/>
          </w:tcPr>
          <w:p>
            <w:pPr>
              <w:jc w:val="left"/>
              <w:spacing w:line="240" w:lineRule="auto" w:after="0"/>
            </w:pPr>
            <w:r>
              <w:rPr>
                <w:sz w:val="21"/>
              </w:rPr>
              <w:t>License fee</w:t>
            </w:r>
          </w:p>
        </w:tc>
        <w:tc>
          <w:tcPr>
            <w:tcW w:w="2400" w:type="dxa"/>
          </w:tcPr>
          <w:p>
            <w:pPr>
              <w:jc w:val="left"/>
              <w:spacing w:line="240" w:lineRule="auto" w:after="0"/>
            </w:pPr>
            <w:r>
              <w:rPr>
                <w:sz w:val="21"/>
              </w:rPr>
              <w:t>Data monetization</w:t>
            </w:r>
          </w:p>
        </w:tc>
        <w:tc>
          <w:tcPr>
            <w:tcW w:w="2400" w:type="dxa"/>
          </w:tcPr>
          <w:p>
            <w:pPr>
              <w:jc w:val="left"/>
              <w:spacing w:line="240" w:lineRule="auto" w:after="0"/>
            </w:pPr>
            <w:r>
              <w:rPr>
                <w:sz w:val="21"/>
              </w:rPr>
              <w:t>100% Free / Academic</w:t>
            </w:r>
          </w:p>
        </w:tc>
      </w:tr>
    </w:tbl>
    <w:p>
      <w:pPr>
        <w:spacing w:after="120"/>
      </w:pPr>
    </w:p>
    <w:p>
      <w:pPr>
        <w:jc w:val="both"/>
        <w:spacing w:line="360" w:lineRule="auto" w:after="100"/>
        <w:ind w:firstLine="480"/>
      </w:pPr>
      <w:r>
        <w:rPr>
          <w:rFonts w:ascii="Times New Roman" w:hAnsi="Times New Roman"/>
          <w:sz w:val="24"/>
          <w:szCs w:val="24"/>
        </w:rPr>
        <w:t xml:space="preserve">The comparative analysis demonstrates that existing tools either impose severe privacy compromises by demanding access to banking APIs or require tedious manual updates in spreadsheets that users quickly abandon. Vaulty resolves this dilemma by delivering an automated, privacy-first web application.</w:t>
      </w:r>
    </w:p>
    <w:p>
      <w:pPr>
        <w:jc w:val="center"/>
        <w:spacing w:line="360" w:lineRule="auto" w:after="140"/>
      </w:pPr>
      <w:r>
        <w:rPr>
          <w:rFonts w:ascii="Times New Roman" w:hAnsi="Times New Roman"/>
          <w:sz w:val="22"/>
          <w:szCs w:val="22"/>
          <w:b/>
          <w:bCs/>
        </w:rPr>
        <w:t xml:space="preserve">13</w:t>
      </w:r>
    </w:p>
    <w:sectPr>
      <w:pgSz w:w="11906" w:h="16838"/>
      <w:pgMar w:top="1134" w:right="1134" w:bottom="1134" w:left="1134" w:header="708" w:footer="708" w:gutter="0"/>
      <w:pgBorders w:offsetFrom="page">
        <w:top w:val="single" w:sz="12" w:space="24" w:color="000000"/>
        <w:left w:val="single" w:sz="12" w:space="24" w:color="000000"/>
        <w:bottom w:val="single" w:sz="12" w:space="24" w:color="000000"/>
        <w:right w:val="single" w:sz="12" w:space="24" w:color="000000"/>
      </w:pgBorders>
    </w:sectPr>
  </w:body>
</w:document>
</file>

<file path=word/styles.xml><?xml version="1.0" encoding="utf-8"?>
<w:styles xmlns:w="http://schemas.openxmlformats.org/wordprocessingml/2006/main">
  <w:style w:type="character" w:styleId="Hyperlink">
    <w:name w:val="Hyperlink"/>
    <w:rPr>
      <w:color w:val="0563C1"/>
      <w:u w:val="single"/>
    </w:rPr>
  </w:style>
  <w:docDefaults>
    <w:rPrDefault>
      <w:rPr>
        <w:rFonts w:ascii="Times New Roman" w:hAnsi="Times New Roman" w:cs="Times New Roman"/>
        <w:sz w:val="24"/>
        <w:szCs w:val="24"/>
      </w:rPr>
    </w:rPrDefault>
    <w:pPrDefault>
      <w:pPr>
        <w:spacing w:line="360" w:lineRule="auto" w:after="14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VAULTY Minor Project Report (BCA-508)</dc:title>
  <dc:creator>Lakshya Singh</dc:creator>
</cp:coreProperties>
</file>