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  <w:spacing w:line="360" w:lineRule="auto" w:after="200"/>
      </w:pPr>
      <w:r>
        <w:rPr>
          <w:rFonts w:ascii="Times New Roman" w:hAnsi="Times New Roman"/>
          <w:sz w:val="32"/>
          <w:szCs w:val="32"/>
          <w:b/>
          <w:bCs/>
          <w:u w:val="single"/>
        </w:rPr>
        <w:t xml:space="preserve">CHAPTER 3: DESIGN OF PROJECT MODEL</w:t>
      </w:r>
    </w:p>
    <w:p>
      <w:pPr>
        <w:jc w:val="both"/>
        <w:spacing w:line="360" w:lineRule="auto" w:after="100"/>
      </w:pPr>
      <w:r>
        <w:rPr>
          <w:rFonts w:ascii="Times New Roman" w:hAnsi="Times New Roman"/>
          <w:sz w:val="26"/>
          <w:szCs w:val="26"/>
          <w:b/>
          <w:bCs/>
        </w:rPr>
        <w:t xml:space="preserve">3.1 System Design</w:t>
      </w:r>
    </w:p>
    <w:p>
      <w:pPr>
        <w:jc w:val="both"/>
        <w:spacing w:line="360" w:lineRule="auto" w:after="100"/>
        <w:ind w:firstLine="480"/>
      </w:pPr>
      <w:r>
        <w:rPr>
          <w:rFonts w:ascii="Times New Roman" w:hAnsi="Times New Roman"/>
          <w:sz w:val="24"/>
          <w:szCs w:val="24"/>
        </w:rPr>
        <w:t xml:space="preserve">The design of Vaulty is grounded in modular, decoupled software engineering principles. The primary design objective is to provide instant computational responsiveness while preserving strict data integrity and privacy.</w:t>
      </w:r>
    </w:p>
    <w:p>
      <w:pPr>
        <w:jc w:val="both"/>
        <w:spacing w:line="360" w:lineRule="auto" w:after="140"/>
        <w:ind w:firstLine="480"/>
      </w:pPr>
      <w:r>
        <w:rPr>
          <w:rFonts w:ascii="Times New Roman" w:hAnsi="Times New Roman"/>
          <w:sz w:val="24"/>
          <w:szCs w:val="24"/>
        </w:rPr>
        <w:t xml:space="preserve">The system is structured around three core operational layers: the presentation layer handling responsive UI widgets, the domain calculation layer executing pure mathematical transformations, and the repository layer abstracting PostgreSQL and local browser storage.</w:t>
      </w:r>
    </w:p>
    <w:p>
      <w:pPr>
        <w:jc w:val="both"/>
        <w:spacing w:line="360" w:lineRule="auto" w:after="100"/>
      </w:pPr>
      <w:r>
        <w:rPr>
          <w:rFonts w:ascii="Times New Roman" w:hAnsi="Times New Roman"/>
          <w:sz w:val="26"/>
          <w:szCs w:val="26"/>
          <w:b/>
          <w:bCs/>
        </w:rPr>
        <w:t xml:space="preserve">3.2 Architecture of the Proposed System</w:t>
      </w:r>
    </w:p>
    <w:p>
      <w:pPr>
        <w:jc w:val="both"/>
        <w:spacing w:line="360" w:lineRule="auto" w:after="140"/>
        <w:ind w:firstLine="480"/>
      </w:pPr>
      <w:r>
        <w:rPr>
          <w:rFonts w:ascii="Times New Roman" w:hAnsi="Times New Roman"/>
          <w:sz w:val="24"/>
          <w:szCs w:val="24"/>
        </w:rPr>
        <w:t xml:space="preserve">Vaulty adopts a modern 3-Tier Architecture specifically tailored for Next.js 14 App Router applications. Figure 3.1 illustrates the structural components of the system, and Figure 3.2 details the execution flowchart.</w:t>
      </w:r>
    </w:p>
    <w:p>
      <w:pPr>
        <w:jc w:val="center"/>
        <w:spacing w:line="240" w:lineRule="auto" w:after="80"/>
      </w:pPr>
      <w:r>
        <w:rPr>
          <w:rFonts w:ascii="Times New Roman" w:hAnsi="Times New Roman"/>
          <w:sz w:val="22"/>
          <w:szCs w:val="22"/>
          <w:b/>
          <w:bCs/>
        </w:rPr>
        <w:t xml:space="preserve">14</w:t>
      </w:r>
    </w:p>
    <w:p>
      <w:pPr>
        <w:spacing w:after="0"/>
      </w:pPr>
      <w:r>
        <w:br w:type="page"/>
      </w:r>
    </w:p>
    <w:tbl>
      <w:tblPr>
        <w:tblW w:w="9400" w:type="dxa"/>
        <w:tblBorders>
          <w:top w:val="single" w:sz="6" w:color="555555"/>
          <w:left w:val="single" w:sz="6" w:color="555555"/>
          <w:bottom w:val="single" w:sz="6" w:color="555555"/>
          <w:right w:val="single" w:sz="6" w:color="555555"/>
        </w:tblBorders>
        <w:tblCellMar>
          <w:top w:w="120" w:type="dxa"/>
          <w:left w:w="160" w:type="dxa"/>
          <w:bottom w:w="120" w:type="dxa"/>
          <w:right w:w="160" w:type="dxa"/>
        </w:tblCellMar>
      </w:tblPr>
      <w:tr>
        <w:tc>
          <w:tcPr>
            <w:shd w:val="clear" w:color="auto" w:fill="F9F9F9"/>
          </w:tcPr>
          <w:p>
            <w:pPr>
              <w:jc w:val="left"/>
              <w:spacing w:line="240" w:lineRule="auto" w:after="0"/>
            </w:pPr>
            <w:r>
              <w:rPr>
                <w:rFonts w:ascii="Courier New" w:hAnsi="Courier New"/>
                <w:sz w:val="18"/>
              </w:rPr>
              <w:t xml:space="preserve">+-----------------------------------------------------------------------+</w:t>
            </w:r>
          </w:p>
          <w:p>
            <w:pPr>
              <w:jc w:val="left"/>
              <w:spacing w:line="240" w:lineRule="auto" w:after="0"/>
            </w:pPr>
            <w:r>
              <w:rPr>
                <w:rFonts w:ascii="Courier New" w:hAnsi="Courier New"/>
                <w:sz w:val="18"/>
              </w:rPr>
              <w:t xml:space="preserve">|                       PRESENTATION TIER (UI)                          |</w:t>
            </w:r>
          </w:p>
          <w:p>
            <w:pPr>
              <w:jc w:val="left"/>
              <w:spacing w:line="240" w:lineRule="auto" w:after="0"/>
            </w:pPr>
            <w:r>
              <w:rPr>
                <w:rFonts w:ascii="Courier New" w:hAnsi="Courier New"/>
                <w:sz w:val="18"/>
              </w:rPr>
              <w:t xml:space="preserve">|  - Bento Grid Overview          - Sub Vault Table &amp; Grid View         |</w:t>
            </w:r>
          </w:p>
          <w:p>
            <w:pPr>
              <w:jc w:val="left"/>
              <w:spacing w:line="240" w:lineRule="auto" w:after="0"/>
            </w:pPr>
            <w:r>
              <w:rPr>
                <w:rFonts w:ascii="Courier New" w:hAnsi="Courier New"/>
                <w:sz w:val="18"/>
              </w:rPr>
              <w:t xml:space="preserve">|  - Bleed Radar &amp; Spend Donut    - Add/Edit Subscription Modal         |</w:t>
            </w:r>
          </w:p>
          <w:p>
            <w:pPr>
              <w:jc w:val="left"/>
              <w:spacing w:line="240" w:lineRule="auto" w:after="0"/>
            </w:pPr>
            <w:r>
              <w:rPr>
                <w:rFonts w:ascii="Courier New" w:hAnsi="Courier New"/>
                <w:sz w:val="18"/>
              </w:rPr>
              <w:t xml:space="preserve">|  - Command Palette (⌘K)         - Responsive Navigation Shell         |</w:t>
            </w:r>
          </w:p>
          <w:p>
            <w:pPr>
              <w:jc w:val="left"/>
              <w:spacing w:line="240" w:lineRule="auto" w:after="0"/>
            </w:pPr>
            <w:r>
              <w:rPr>
                <w:rFonts w:ascii="Courier New" w:hAnsi="Courier New"/>
                <w:sz w:val="18"/>
              </w:rPr>
              <w:t xml:space="preserve">+-----------------------------------------------------------------------+</w:t>
            </w:r>
          </w:p>
          <w:p>
            <w:pPr>
              <w:jc w:val="left"/>
              <w:spacing w:line="240" w:lineRule="auto" w:after="0"/>
            </w:pPr>
            <w:r>
              <w:rPr>
                <w:rFonts w:ascii="Courier New" w:hAnsi="Courier New"/>
                <w:sz w:val="18"/>
              </w:rPr>
              <w:t xml:space="preserve">                                   |</w:t>
            </w:r>
          </w:p>
          <w:p>
            <w:pPr>
              <w:jc w:val="left"/>
              <w:spacing w:line="240" w:lineRule="auto" w:after="0"/>
            </w:pPr>
            <w:r>
              <w:rPr>
                <w:rFonts w:ascii="Courier New" w:hAnsi="Courier New"/>
                <w:sz w:val="18"/>
              </w:rPr>
              <w:t xml:space="preserve">                                   v</w:t>
            </w:r>
          </w:p>
          <w:p>
            <w:pPr>
              <w:jc w:val="left"/>
              <w:spacing w:line="240" w:lineRule="auto" w:after="0"/>
            </w:pPr>
            <w:r>
              <w:rPr>
                <w:rFonts w:ascii="Courier New" w:hAnsi="Courier New"/>
                <w:sz w:val="18"/>
              </w:rPr>
              <w:t xml:space="preserve">+-----------------------------------------------------------------------+</w:t>
            </w:r>
          </w:p>
          <w:p>
            <w:pPr>
              <w:jc w:val="left"/>
              <w:spacing w:line="240" w:lineRule="auto" w:after="0"/>
            </w:pPr>
            <w:r>
              <w:rPr>
                <w:rFonts w:ascii="Courier New" w:hAnsi="Courier New"/>
                <w:sz w:val="18"/>
              </w:rPr>
              <w:t xml:space="preserve">|                    APPLICATION &amp; LOGIC TIER                           |</w:t>
            </w:r>
          </w:p>
          <w:p>
            <w:pPr>
              <w:jc w:val="left"/>
              <w:spacing w:line="240" w:lineRule="auto" w:after="0"/>
            </w:pPr>
            <w:r>
              <w:rPr>
                <w:rFonts w:ascii="Courier New" w:hAnsi="Courier New"/>
                <w:sz w:val="18"/>
              </w:rPr>
              <w:t xml:space="preserve">|  - Pure Calculation Engine (lib/calc.ts)                              |</w:t>
            </w:r>
          </w:p>
          <w:p>
            <w:pPr>
              <w:jc w:val="left"/>
              <w:spacing w:line="240" w:lineRule="auto" w:after="0"/>
            </w:pPr>
            <w:r>
              <w:rPr>
                <w:rFonts w:ascii="Courier New" w:hAnsi="Courier New"/>
                <w:sz w:val="18"/>
              </w:rPr>
              <w:t xml:space="preserve">|  - Alert Generation Logic (lib/alerts.ts)                             |</w:t>
            </w:r>
          </w:p>
          <w:p>
            <w:pPr>
              <w:jc w:val="left"/>
              <w:spacing w:line="240" w:lineRule="auto" w:after="0"/>
            </w:pPr>
            <w:r>
              <w:rPr>
                <w:rFonts w:ascii="Courier New" w:hAnsi="Courier New"/>
                <w:sz w:val="18"/>
              </w:rPr>
              <w:t xml:space="preserve">|  - Schema Validation (Zod &amp; React Hook Form)                          |</w:t>
            </w:r>
          </w:p>
          <w:p>
            <w:pPr>
              <w:jc w:val="left"/>
              <w:spacing w:line="240" w:lineRule="auto" w:after="0"/>
            </w:pPr>
            <w:r>
              <w:rPr>
                <w:rFonts w:ascii="Courier New" w:hAnsi="Courier New"/>
                <w:sz w:val="18"/>
              </w:rPr>
              <w:t xml:space="preserve">|  - Server Actions (app/actions/subscriptions.ts)                      |</w:t>
            </w:r>
          </w:p>
          <w:p>
            <w:pPr>
              <w:jc w:val="left"/>
              <w:spacing w:line="240" w:lineRule="auto" w:after="0"/>
            </w:pPr>
            <w:r>
              <w:rPr>
                <w:rFonts w:ascii="Courier New" w:hAnsi="Courier New"/>
                <w:sz w:val="18"/>
              </w:rPr>
              <w:t xml:space="preserve">|  - Repository Factory &amp; useSubscriptions Hook                         |</w:t>
            </w:r>
          </w:p>
          <w:p>
            <w:pPr>
              <w:jc w:val="left"/>
              <w:spacing w:line="240" w:lineRule="auto" w:after="0"/>
            </w:pPr>
            <w:r>
              <w:rPr>
                <w:rFonts w:ascii="Courier New" w:hAnsi="Courier New"/>
                <w:sz w:val="18"/>
              </w:rPr>
              <w:t xml:space="preserve">+-----------------------------------------------------------------------+</w:t>
            </w:r>
          </w:p>
          <w:p>
            <w:pPr>
              <w:jc w:val="left"/>
              <w:spacing w:line="240" w:lineRule="auto" w:after="0"/>
            </w:pPr>
            <w:r>
              <w:rPr>
                <w:rFonts w:ascii="Courier New" w:hAnsi="Courier New"/>
                <w:sz w:val="18"/>
              </w:rPr>
              <w:t xml:space="preserve">                                   |</w:t>
            </w:r>
          </w:p>
          <w:p>
            <w:pPr>
              <w:jc w:val="left"/>
              <w:spacing w:line="240" w:lineRule="auto" w:after="0"/>
            </w:pPr>
            <w:r>
              <w:rPr>
                <w:rFonts w:ascii="Courier New" w:hAnsi="Courier New"/>
                <w:sz w:val="18"/>
              </w:rPr>
              <w:t xml:space="preserve">                  +----------------+----------------+</w:t>
            </w:r>
          </w:p>
          <w:p>
            <w:pPr>
              <w:jc w:val="left"/>
              <w:spacing w:line="240" w:lineRule="auto" w:after="0"/>
            </w:pPr>
            <w:r>
              <w:rPr>
                <w:rFonts w:ascii="Courier New" w:hAnsi="Courier New"/>
                <w:sz w:val="18"/>
              </w:rPr>
              <w:t xml:space="preserve">                  |                                 |</w:t>
            </w:r>
          </w:p>
          <w:p>
            <w:pPr>
              <w:jc w:val="left"/>
              <w:spacing w:line="240" w:lineRule="auto" w:after="0"/>
            </w:pPr>
            <w:r>
              <w:rPr>
                <w:rFonts w:ascii="Courier New" w:hAnsi="Courier New"/>
                <w:sz w:val="18"/>
              </w:rPr>
              <w:t xml:space="preserve">                  v                                 v</w:t>
            </w:r>
          </w:p>
          <w:p>
            <w:pPr>
              <w:jc w:val="left"/>
              <w:spacing w:line="240" w:lineRule="auto" w:after="0"/>
            </w:pPr>
            <w:r>
              <w:rPr>
                <w:rFonts w:ascii="Courier New" w:hAnsi="Courier New"/>
                <w:sz w:val="18"/>
              </w:rPr>
              <w:t xml:space="preserve">+-----------------------------------+  +--------------------------------+</w:t>
            </w:r>
          </w:p>
          <w:p>
            <w:pPr>
              <w:jc w:val="left"/>
              <w:spacing w:line="240" w:lineRule="auto" w:after="0"/>
            </w:pPr>
            <w:r>
              <w:rPr>
                <w:rFonts w:ascii="Courier New" w:hAnsi="Courier New"/>
                <w:sz w:val="18"/>
              </w:rPr>
              <w:t xml:space="preserve">|       SUPABASE CLOUD STORAGE      |  |     LOCAL REPOSITORY           |</w:t>
            </w:r>
          </w:p>
          <w:p>
            <w:pPr>
              <w:jc w:val="left"/>
              <w:spacing w:line="240" w:lineRule="auto" w:after="0"/>
            </w:pPr>
            <w:r>
              <w:rPr>
                <w:rFonts w:ascii="Courier New" w:hAnsi="Courier New"/>
                <w:sz w:val="18"/>
              </w:rPr>
              <w:t xml:space="preserve">|  - PostgreSQL Database            |  |  - Browser localStorage        |</w:t>
            </w:r>
          </w:p>
          <w:p>
            <w:pPr>
              <w:jc w:val="left"/>
              <w:spacing w:line="240" w:lineRule="auto" w:after="0"/>
            </w:pPr>
            <w:r>
              <w:rPr>
                <w:rFonts w:ascii="Courier New" w:hAnsi="Courier New"/>
                <w:sz w:val="18"/>
              </w:rPr>
              <w:t xml:space="preserve">|  - Supabase Auth (JWT Sessions)   |  |  - Instant Seed Bootstrapping  |</w:t>
            </w:r>
          </w:p>
          <w:p>
            <w:pPr>
              <w:jc w:val="left"/>
              <w:spacing w:line="240" w:lineRule="auto" w:after="0"/>
            </w:pPr>
            <w:r>
              <w:rPr>
                <w:rFonts w:ascii="Courier New" w:hAnsi="Courier New"/>
                <w:sz w:val="18"/>
              </w:rPr>
              <w:t xml:space="preserve">|  - Row Level Security (RLS)       |  |  - 100% Offline Resilience     |</w:t>
            </w:r>
          </w:p>
          <w:p>
            <w:pPr>
              <w:jc w:val="left"/>
              <w:spacing w:line="240" w:lineRule="auto" w:after="0"/>
            </w:pPr>
            <w:r>
              <w:rPr>
                <w:rFonts w:ascii="Courier New" w:hAnsi="Courier New"/>
                <w:sz w:val="18"/>
              </w:rPr>
              <w:t xml:space="preserve">+-----------------------------------+  +--------------------------------+</w:t>
            </w:r>
          </w:p>
        </w:tc>
      </w:tr>
    </w:tbl>
    <w:p>
      <w:pPr>
        <w:spacing w:after="120"/>
      </w:pPr>
    </w:p>
    <w:p>
      <w:pPr>
        <w:jc w:val="center"/>
        <w:spacing w:line="360" w:lineRule="auto" w:after="160"/>
      </w:pPr>
      <w:r>
        <w:rPr>
          <w:rFonts w:ascii="Times New Roman" w:hAnsi="Times New Roman"/>
          <w:sz w:val="22"/>
          <w:szCs w:val="22"/>
          <w:b/>
          <w:bCs/>
        </w:rPr>
        <w:t xml:space="preserve">Figure 3.1: High-Level System Architecture of Vaulty</w:t>
      </w:r>
    </w:p>
    <w:tbl>
      <w:tblPr>
        <w:tblW w:w="9400" w:type="dxa"/>
        <w:tblBorders>
          <w:top w:val="single" w:sz="6" w:color="555555"/>
          <w:left w:val="single" w:sz="6" w:color="555555"/>
          <w:bottom w:val="single" w:sz="6" w:color="555555"/>
          <w:right w:val="single" w:sz="6" w:color="555555"/>
        </w:tblBorders>
        <w:tblCellMar>
          <w:top w:w="120" w:type="dxa"/>
          <w:left w:w="160" w:type="dxa"/>
          <w:bottom w:w="120" w:type="dxa"/>
          <w:right w:w="160" w:type="dxa"/>
        </w:tblCellMar>
      </w:tblPr>
      <w:tr>
        <w:tc>
          <w:tcPr>
            <w:shd w:val="clear" w:color="auto" w:fill="F9F9F9"/>
          </w:tcPr>
          <w:p>
            <w:pPr>
              <w:jc w:val="left"/>
              <w:spacing w:line="240" w:lineRule="auto" w:after="0"/>
            </w:pPr>
            <w:r>
              <w:rPr>
                <w:rFonts w:ascii="Courier New" w:hAnsi="Courier New"/>
                <w:sz w:val="18"/>
              </w:rPr>
              <w:t xml:space="preserve">[ User Request / Event ]</w:t>
            </w:r>
          </w:p>
          <w:p>
            <w:pPr>
              <w:jc w:val="left"/>
              <w:spacing w:line="240" w:lineRule="auto" w:after="0"/>
            </w:pPr>
            <w:r>
              <w:rPr>
                <w:rFonts w:ascii="Courier New" w:hAnsi="Courier New"/>
                <w:sz w:val="18"/>
              </w:rPr>
              <w:t xml:space="preserve">           |</w:t>
            </w:r>
          </w:p>
          <w:p>
            <w:pPr>
              <w:jc w:val="left"/>
              <w:spacing w:line="240" w:lineRule="auto" w:after="0"/>
            </w:pPr>
            <w:r>
              <w:rPr>
                <w:rFonts w:ascii="Courier New" w:hAnsi="Courier New"/>
                <w:sz w:val="18"/>
              </w:rPr>
              <w:t xml:space="preserve">           v</w:t>
            </w:r>
          </w:p>
          <w:p>
            <w:pPr>
              <w:jc w:val="left"/>
              <w:spacing w:line="240" w:lineRule="auto" w:after="0"/>
            </w:pPr>
            <w:r>
              <w:rPr>
                <w:rFonts w:ascii="Courier New" w:hAnsi="Courier New"/>
                <w:sz w:val="18"/>
              </w:rPr>
              <w:t xml:space="preserve">[ Next.js 14 Page / Client Component ]</w:t>
            </w:r>
          </w:p>
          <w:p>
            <w:pPr>
              <w:jc w:val="left"/>
              <w:spacing w:line="240" w:lineRule="auto" w:after="0"/>
            </w:pPr>
            <w:r>
              <w:rPr>
                <w:rFonts w:ascii="Courier New" w:hAnsi="Courier New"/>
                <w:sz w:val="18"/>
              </w:rPr>
              <w:t xml:space="preserve">           |</w:t>
            </w:r>
          </w:p>
          <w:p>
            <w:pPr>
              <w:jc w:val="left"/>
              <w:spacing w:line="240" w:lineRule="auto" w:after="0"/>
            </w:pPr>
            <w:r>
              <w:rPr>
                <w:rFonts w:ascii="Courier New" w:hAnsi="Courier New"/>
                <w:sz w:val="18"/>
              </w:rPr>
              <w:t xml:space="preserve">           v</w:t>
            </w:r>
          </w:p>
          <w:p>
            <w:pPr>
              <w:jc w:val="left"/>
              <w:spacing w:line="240" w:lineRule="auto" w:after="0"/>
            </w:pPr>
            <w:r>
              <w:rPr>
                <w:rFonts w:ascii="Courier New" w:hAnsi="Courier New"/>
                <w:sz w:val="18"/>
              </w:rPr>
              <w:t xml:space="preserve">[ Form Validation Layer: Zod Schema ]</w:t>
            </w:r>
          </w:p>
          <w:p>
            <w:pPr>
              <w:jc w:val="left"/>
              <w:spacing w:line="240" w:lineRule="auto" w:after="0"/>
            </w:pPr>
            <w:r>
              <w:rPr>
                <w:rFonts w:ascii="Courier New" w:hAnsi="Courier New"/>
                <w:sz w:val="18"/>
              </w:rPr>
              <w:t xml:space="preserve">           |</w:t>
            </w:r>
          </w:p>
          <w:p>
            <w:pPr>
              <w:jc w:val="left"/>
              <w:spacing w:line="240" w:lineRule="auto" w:after="0"/>
            </w:pPr>
            <w:r>
              <w:rPr>
                <w:rFonts w:ascii="Courier New" w:hAnsi="Courier New"/>
                <w:sz w:val="18"/>
              </w:rPr>
              <w:t xml:space="preserve">           v</w:t>
            </w:r>
          </w:p>
          <w:p>
            <w:pPr>
              <w:jc w:val="left"/>
              <w:spacing w:line="240" w:lineRule="auto" w:after="0"/>
            </w:pPr>
            <w:r>
              <w:rPr>
                <w:rFonts w:ascii="Courier New" w:hAnsi="Courier New"/>
                <w:sz w:val="18"/>
              </w:rPr>
              <w:t xml:space="preserve">[ Domain Calculation Engine: lib/calc.ts ]</w:t>
            </w:r>
          </w:p>
          <w:p>
            <w:pPr>
              <w:jc w:val="left"/>
              <w:spacing w:line="240" w:lineRule="auto" w:after="0"/>
            </w:pPr>
            <w:r>
              <w:rPr>
                <w:rFonts w:ascii="Courier New" w:hAnsi="Courier New"/>
                <w:sz w:val="18"/>
              </w:rPr>
              <w:t xml:space="preserve">           |</w:t>
            </w:r>
          </w:p>
          <w:p>
            <w:pPr>
              <w:jc w:val="left"/>
              <w:spacing w:line="240" w:lineRule="auto" w:after="0"/>
            </w:pPr>
            <w:r>
              <w:rPr>
                <w:rFonts w:ascii="Courier New" w:hAnsi="Courier New"/>
                <w:sz w:val="18"/>
              </w:rPr>
              <w:t xml:space="preserve">           v</w:t>
            </w:r>
          </w:p>
          <w:p>
            <w:pPr>
              <w:jc w:val="left"/>
              <w:spacing w:line="240" w:lineRule="auto" w:after="0"/>
            </w:pPr>
            <w:r>
              <w:rPr>
                <w:rFonts w:ascii="Courier New" w:hAnsi="Courier New"/>
                <w:sz w:val="18"/>
              </w:rPr>
              <w:t xml:space="preserve">[ SubscriptionRepository Interface ]</w:t>
            </w:r>
          </w:p>
          <w:p>
            <w:pPr>
              <w:jc w:val="left"/>
              <w:spacing w:line="240" w:lineRule="auto" w:after="0"/>
            </w:pPr>
            <w:r>
              <w:rPr>
                <w:rFonts w:ascii="Courier New" w:hAnsi="Courier New"/>
                <w:sz w:val="18"/>
              </w:rPr>
              <w:t xml:space="preserve">        /              \</w:t>
            </w:r>
          </w:p>
          <w:p>
            <w:pPr>
              <w:jc w:val="left"/>
              <w:spacing w:line="240" w:lineRule="auto" w:after="0"/>
            </w:pPr>
            <w:r>
              <w:rPr>
                <w:rFonts w:ascii="Courier New" w:hAnsi="Courier New"/>
                <w:sz w:val="18"/>
              </w:rPr>
              <w:t xml:space="preserve">       v                v</w:t>
            </w:r>
          </w:p>
          <w:p>
            <w:pPr>
              <w:jc w:val="left"/>
              <w:spacing w:line="240" w:lineRule="auto" w:after="0"/>
            </w:pPr>
            <w:r>
              <w:rPr>
                <w:rFonts w:ascii="Courier New" w:hAnsi="Courier New"/>
                <w:sz w:val="18"/>
              </w:rPr>
              <w:t xml:space="preserve">[ Supabase Client ]   [ LocalStorage Repository ]</w:t>
            </w:r>
          </w:p>
          <w:p>
            <w:pPr>
              <w:jc w:val="left"/>
              <w:spacing w:line="240" w:lineRule="auto" w:after="0"/>
            </w:pPr>
            <w:r>
              <w:rPr>
                <w:rFonts w:ascii="Courier New" w:hAnsi="Courier New"/>
                <w:sz w:val="18"/>
              </w:rPr>
              <w:t xml:space="preserve">       |                        |</w:t>
            </w:r>
          </w:p>
          <w:p>
            <w:pPr>
              <w:jc w:val="left"/>
              <w:spacing w:line="240" w:lineRule="auto" w:after="0"/>
            </w:pPr>
            <w:r>
              <w:rPr>
                <w:rFonts w:ascii="Courier New" w:hAnsi="Courier New"/>
                <w:sz w:val="18"/>
              </w:rPr>
              <w:t xml:space="preserve">[ PostgreSQL DB ]     [ Browser Storage ]</w:t>
            </w:r>
          </w:p>
        </w:tc>
      </w:tr>
    </w:tbl>
    <w:p>
      <w:pPr>
        <w:spacing w:after="120"/>
      </w:pPr>
    </w:p>
    <w:p>
      <w:pPr>
        <w:jc w:val="center"/>
        <w:spacing w:line="360" w:lineRule="auto" w:after="160"/>
      </w:pPr>
      <w:r>
        <w:rPr>
          <w:rFonts w:ascii="Times New Roman" w:hAnsi="Times New Roman"/>
          <w:sz w:val="22"/>
          <w:szCs w:val="22"/>
          <w:b/>
          <w:bCs/>
        </w:rPr>
        <w:t xml:space="preserve">Figure 3.2: 3-Tier Layered Architecture Flowchart</w:t>
      </w:r>
    </w:p>
    <w:p>
      <w:pPr>
        <w:jc w:val="center"/>
        <w:spacing w:line="240" w:lineRule="auto" w:after="80"/>
      </w:pPr>
      <w:r>
        <w:rPr>
          <w:rFonts w:ascii="Times New Roman" w:hAnsi="Times New Roman"/>
          <w:sz w:val="22"/>
          <w:szCs w:val="22"/>
          <w:b/>
          <w:bCs/>
        </w:rPr>
        <w:t xml:space="preserve">15</w:t>
      </w:r>
    </w:p>
    <w:p>
      <w:pPr>
        <w:spacing w:after="0"/>
      </w:pPr>
      <w:r>
        <w:br w:type="page"/>
      </w:r>
    </w:p>
    <w:p>
      <w:pPr>
        <w:jc w:val="both"/>
        <w:spacing w:line="360" w:lineRule="auto" w:after="100"/>
      </w:pPr>
      <w:r>
        <w:rPr>
          <w:rFonts w:ascii="Times New Roman" w:hAnsi="Times New Roman"/>
          <w:sz w:val="26"/>
          <w:szCs w:val="26"/>
          <w:b/>
          <w:bCs/>
        </w:rPr>
        <w:t xml:space="preserve">3.3 Working of the System</w:t>
      </w:r>
    </w:p>
    <w:p>
      <w:pPr>
        <w:jc w:val="both"/>
        <w:spacing w:line="360" w:lineRule="auto" w:after="140"/>
        <w:ind w:firstLine="480"/>
      </w:pPr>
      <w:r>
        <w:rPr>
          <w:rFonts w:ascii="Times New Roman" w:hAnsi="Times New Roman"/>
          <w:sz w:val="24"/>
          <w:szCs w:val="24"/>
        </w:rPr>
        <w:t xml:space="preserve">The operational lifecycle follows four sequential steps: (1) Session Initialization via Supabase Auth or instant demo mode, (2) Subscription Entry using brand presets, (3) Mathematical Normalization via pure functions in lib/calc.ts, and (4) Intelligence Scans detecting zombie inactivity and expiring trial dates.</w:t>
      </w:r>
    </w:p>
    <w:tbl>
      <w:tblPr>
        <w:tblW w:w="9400" w:type="dxa"/>
        <w:tblBorders>
          <w:top w:val="single" w:sz="6" w:color="555555"/>
          <w:left w:val="single" w:sz="6" w:color="555555"/>
          <w:bottom w:val="single" w:sz="6" w:color="555555"/>
          <w:right w:val="single" w:sz="6" w:color="555555"/>
        </w:tblBorders>
        <w:tblCellMar>
          <w:top w:w="120" w:type="dxa"/>
          <w:left w:w="160" w:type="dxa"/>
          <w:bottom w:w="120" w:type="dxa"/>
          <w:right w:w="160" w:type="dxa"/>
        </w:tblCellMar>
      </w:tblPr>
      <w:tr>
        <w:tc>
          <w:tcPr>
            <w:shd w:val="clear" w:color="auto" w:fill="F9F9F9"/>
          </w:tcPr>
          <w:p>
            <w:pPr>
              <w:jc w:val="left"/>
              <w:spacing w:line="240" w:lineRule="auto" w:after="0"/>
            </w:pPr>
            <w:r>
              <w:rPr>
                <w:rFonts w:ascii="Courier New" w:hAnsi="Courier New"/>
                <w:sz w:val="18"/>
              </w:rPr>
              <w:t xml:space="preserve">+--------------------+        Credentials / Demo Mode        +--------------------+</w:t>
            </w:r>
          </w:p>
          <w:p>
            <w:pPr>
              <w:jc w:val="left"/>
              <w:spacing w:line="240" w:lineRule="auto" w:after="0"/>
            </w:pPr>
            <w:r>
              <w:rPr>
                <w:rFonts w:ascii="Courier New" w:hAnsi="Courier New"/>
                <w:sz w:val="18"/>
              </w:rPr>
              <w:t xml:space="preserve">|                    | -----------------------------------&gt; |                    |</w:t>
            </w:r>
          </w:p>
          <w:p>
            <w:pPr>
              <w:jc w:val="left"/>
              <w:spacing w:line="240" w:lineRule="auto" w:after="0"/>
            </w:pPr>
            <w:r>
              <w:rPr>
                <w:rFonts w:ascii="Courier New" w:hAnsi="Courier New"/>
                <w:sz w:val="18"/>
              </w:rPr>
              <w:t xml:space="preserve">|       User         |                                      |   Authentication   |</w:t>
            </w:r>
          </w:p>
          <w:p>
            <w:pPr>
              <w:jc w:val="left"/>
              <w:spacing w:line="240" w:lineRule="auto" w:after="0"/>
            </w:pPr>
            <w:r>
              <w:rPr>
                <w:rFonts w:ascii="Courier New" w:hAnsi="Courier New"/>
                <w:sz w:val="18"/>
              </w:rPr>
              <w:t xml:space="preserve">|                    | &lt;----------------------------------- |      Service       |</w:t>
            </w:r>
          </w:p>
          <w:p>
            <w:pPr>
              <w:jc w:val="left"/>
              <w:spacing w:line="240" w:lineRule="auto" w:after="0"/>
            </w:pPr>
            <w:r>
              <w:rPr>
                <w:rFonts w:ascii="Courier New" w:hAnsi="Courier New"/>
                <w:sz w:val="18"/>
              </w:rPr>
              <w:t xml:space="preserve">+--------------------+            Session Token             +--------------------+</w:t>
            </w:r>
          </w:p>
          <w:p>
            <w:pPr>
              <w:jc w:val="left"/>
              <w:spacing w:line="240" w:lineRule="auto" w:after="0"/>
            </w:pPr>
            <w:r>
              <w:rPr>
                <w:rFonts w:ascii="Courier New" w:hAnsi="Courier New"/>
                <w:sz w:val="18"/>
              </w:rPr>
              <w:t xml:space="preserve">          |</w:t>
            </w:r>
          </w:p>
          <w:p>
            <w:pPr>
              <w:jc w:val="left"/>
              <w:spacing w:line="240" w:lineRule="auto" w:after="0"/>
            </w:pPr>
            <w:r>
              <w:rPr>
                <w:rFonts w:ascii="Courier New" w:hAnsi="Courier New"/>
                <w:sz w:val="18"/>
              </w:rPr>
              <w:t xml:space="preserve">          | Add / Update / Delete Subscription</w:t>
            </w:r>
          </w:p>
          <w:p>
            <w:pPr>
              <w:jc w:val="left"/>
              <w:spacing w:line="240" w:lineRule="auto" w:after="0"/>
            </w:pPr>
            <w:r>
              <w:rPr>
                <w:rFonts w:ascii="Courier New" w:hAnsi="Courier New"/>
                <w:sz w:val="18"/>
              </w:rPr>
              <w:t xml:space="preserve">          v</w:t>
            </w:r>
          </w:p>
          <w:p>
            <w:pPr>
              <w:jc w:val="left"/>
              <w:spacing w:line="240" w:lineRule="auto" w:after="0"/>
            </w:pPr>
            <w:r>
              <w:rPr>
                <w:rFonts w:ascii="Courier New" w:hAnsi="Courier New"/>
                <w:sz w:val="18"/>
              </w:rPr>
              <w:t xml:space="preserve">+---------------------------------------------------------------------------------+</w:t>
            </w:r>
          </w:p>
          <w:p>
            <w:pPr>
              <w:jc w:val="left"/>
              <w:spacing w:line="240" w:lineRule="auto" w:after="0"/>
            </w:pPr>
            <w:r>
              <w:rPr>
                <w:rFonts w:ascii="Courier New" w:hAnsi="Courier New"/>
                <w:sz w:val="18"/>
              </w:rPr>
              <w:t xml:space="preserve">|                                Vaulty Core Engine                               |</w:t>
            </w:r>
          </w:p>
          <w:p>
            <w:pPr>
              <w:jc w:val="left"/>
              <w:spacing w:line="240" w:lineRule="auto" w:after="0"/>
            </w:pPr>
            <w:r>
              <w:rPr>
                <w:rFonts w:ascii="Courier New" w:hAnsi="Courier New"/>
                <w:sz w:val="18"/>
              </w:rPr>
              <w:t xml:space="preserve">|                                                                                 |</w:t>
            </w:r>
          </w:p>
          <w:p>
            <w:pPr>
              <w:jc w:val="left"/>
              <w:spacing w:line="240" w:lineRule="auto" w:after="0"/>
            </w:pPr>
            <w:r>
              <w:rPr>
                <w:rFonts w:ascii="Courier New" w:hAnsi="Courier New"/>
                <w:sz w:val="18"/>
              </w:rPr>
              <w:t xml:space="preserve">|  [ Input Validation ] ---&gt; [ Normalization Engine ] ---&gt; [ Intelligence Scan ]  |</w:t>
            </w:r>
          </w:p>
          <w:p>
            <w:pPr>
              <w:jc w:val="left"/>
              <w:spacing w:line="240" w:lineRule="auto" w:after="0"/>
            </w:pPr>
            <w:r>
              <w:rPr>
                <w:rFonts w:ascii="Courier New" w:hAnsi="Courier New"/>
                <w:sz w:val="18"/>
              </w:rPr>
              <w:t xml:space="preserve">|     (Zod Schema)                (lib/calc.ts)                (Zombie &amp; Trials)  |</w:t>
            </w:r>
          </w:p>
          <w:p>
            <w:pPr>
              <w:jc w:val="left"/>
              <w:spacing w:line="240" w:lineRule="auto" w:after="0"/>
            </w:pPr>
            <w:r>
              <w:rPr>
                <w:rFonts w:ascii="Courier New" w:hAnsi="Courier New"/>
                <w:sz w:val="18"/>
              </w:rPr>
              <w:t xml:space="preserve">+---------------------------------------------------------------------------------+</w:t>
            </w:r>
          </w:p>
          <w:p>
            <w:pPr>
              <w:jc w:val="left"/>
              <w:spacing w:line="240" w:lineRule="auto" w:after="0"/>
            </w:pPr>
            <w:r>
              <w:rPr>
                <w:rFonts w:ascii="Courier New" w:hAnsi="Courier New"/>
                <w:sz w:val="18"/>
              </w:rPr>
              <w:t xml:space="preserve">          |                                                         |</w:t>
            </w:r>
          </w:p>
          <w:p>
            <w:pPr>
              <w:jc w:val="left"/>
              <w:spacing w:line="240" w:lineRule="auto" w:after="0"/>
            </w:pPr>
            <w:r>
              <w:rPr>
                <w:rFonts w:ascii="Courier New" w:hAnsi="Courier New"/>
                <w:sz w:val="18"/>
              </w:rPr>
              <w:t xml:space="preserve">          v                                                         v</w:t>
            </w:r>
          </w:p>
          <w:p>
            <w:pPr>
              <w:jc w:val="left"/>
              <w:spacing w:line="240" w:lineRule="auto" w:after="0"/>
            </w:pPr>
            <w:r>
              <w:rPr>
                <w:rFonts w:ascii="Courier New" w:hAnsi="Courier New"/>
                <w:sz w:val="18"/>
              </w:rPr>
              <w:t xml:space="preserve">+--------------------+                                    +--------------------+</w:t>
            </w:r>
          </w:p>
          <w:p>
            <w:pPr>
              <w:jc w:val="left"/>
              <w:spacing w:line="240" w:lineRule="auto" w:after="0"/>
            </w:pPr>
            <w:r>
              <w:rPr>
                <w:rFonts w:ascii="Courier New" w:hAnsi="Courier New"/>
                <w:sz w:val="18"/>
              </w:rPr>
              <w:t xml:space="preserve">|  Repository Layer  |                                    |  Dashboard Cards   |</w:t>
            </w:r>
          </w:p>
          <w:p>
            <w:pPr>
              <w:jc w:val="left"/>
              <w:spacing w:line="240" w:lineRule="auto" w:after="0"/>
            </w:pPr>
            <w:r>
              <w:rPr>
                <w:rFonts w:ascii="Courier New" w:hAnsi="Courier New"/>
                <w:sz w:val="18"/>
              </w:rPr>
              <w:t xml:space="preserve">| (PostgreSQL/Local) |                                    | (Burn Rate, Donut) |</w:t>
            </w:r>
          </w:p>
          <w:p>
            <w:pPr>
              <w:jc w:val="left"/>
              <w:spacing w:line="240" w:lineRule="auto" w:after="0"/>
            </w:pPr>
            <w:r>
              <w:rPr>
                <w:rFonts w:ascii="Courier New" w:hAnsi="Courier New"/>
                <w:sz w:val="18"/>
              </w:rPr>
              <w:t xml:space="preserve">+--------------------+                                    +--------------------+</w:t>
            </w:r>
          </w:p>
        </w:tc>
      </w:tr>
    </w:tbl>
    <w:p>
      <w:pPr>
        <w:spacing w:after="120"/>
      </w:pPr>
    </w:p>
    <w:p>
      <w:pPr>
        <w:jc w:val="center"/>
        <w:spacing w:line="360" w:lineRule="auto" w:after="160"/>
      </w:pPr>
      <w:r>
        <w:rPr>
          <w:rFonts w:ascii="Times New Roman" w:hAnsi="Times New Roman"/>
          <w:sz w:val="22"/>
          <w:szCs w:val="22"/>
          <w:b/>
          <w:bCs/>
        </w:rPr>
        <w:t xml:space="preserve">Figure 3.3: Context-Level Data Flow Diagram (DFD Level 0 &amp; Level 1)</w:t>
      </w:r>
    </w:p>
    <w:p>
      <w:pPr>
        <w:jc w:val="center"/>
        <w:spacing w:line="240" w:lineRule="auto" w:after="80"/>
      </w:pPr>
      <w:r>
        <w:rPr>
          <w:rFonts w:ascii="Times New Roman" w:hAnsi="Times New Roman"/>
          <w:sz w:val="22"/>
          <w:szCs w:val="22"/>
          <w:b/>
          <w:bCs/>
        </w:rPr>
        <w:t xml:space="preserve">16</w:t>
      </w:r>
    </w:p>
    <w:p>
      <w:pPr>
        <w:spacing w:after="0"/>
      </w:pPr>
      <w:r>
        <w:br w:type="page"/>
      </w:r>
    </w:p>
    <w:p>
      <w:pPr>
        <w:jc w:val="both"/>
        <w:spacing w:line="360" w:lineRule="auto" w:after="100"/>
      </w:pPr>
      <w:r>
        <w:rPr>
          <w:rFonts w:ascii="Times New Roman" w:hAnsi="Times New Roman"/>
          <w:sz w:val="26"/>
          <w:szCs w:val="26"/>
          <w:b/>
          <w:bCs/>
        </w:rPr>
        <w:t xml:space="preserve">3.4 Tools and Technologies Used</w:t>
      </w:r>
    </w:p>
    <w:p>
      <w:pPr>
        <w:jc w:val="both"/>
        <w:spacing w:line="360" w:lineRule="auto" w:after="100"/>
      </w:pPr>
      <w:r>
        <w:rPr>
          <w:rFonts w:ascii="Times New Roman" w:hAnsi="Times New Roman"/>
          <w:sz w:val="24"/>
          <w:szCs w:val="24"/>
        </w:rPr>
        <w:t xml:space="preserve">The system architecture leverages modern open-source web technologies: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CellMar>
          <w:top w:w="120" w:type="dxa"/>
          <w:left w:w="160" w:type="dxa"/>
          <w:bottom w:w="120" w:type="dxa"/>
          <w:right w:w="160" w:type="dxa"/>
        </w:tblCellMar>
      </w:tblPr>
      <w:tr>
        <w:tc>
          <w:tcPr>
            <w:tcW w:w="2200" w:type="dxa"/>
            <w:shd w:val="clear" w:color="auto" w:fill="F0F0F0"/>
          </w:tcPr>
          <w:p>
            <w:pPr>
              <w:jc w:val="center"/>
              <w:spacing w:line="240" w:lineRule="auto" w:after="0"/>
            </w:pPr>
            <w:r>
              <w:rPr>
                <w:b/>
                <w:sz w:val="21"/>
              </w:rPr>
              <w:t>Technology</w:t>
            </w:r>
          </w:p>
        </w:tc>
        <w:tc>
          <w:tcPr>
            <w:tcW w:w="3200" w:type="dxa"/>
            <w:shd w:val="clear" w:color="auto" w:fill="F0F0F0"/>
          </w:tcPr>
          <w:p>
            <w:pPr>
              <w:jc w:val="center"/>
              <w:spacing w:line="240" w:lineRule="auto" w:after="0"/>
            </w:pPr>
            <w:r>
              <w:rPr>
                <w:b/>
                <w:sz w:val="21"/>
              </w:rPr>
              <w:t>Role / Layer</w:t>
            </w:r>
          </w:p>
        </w:tc>
        <w:tc>
          <w:tcPr>
            <w:tcW w:w="4000" w:type="dxa"/>
            <w:shd w:val="clear" w:color="auto" w:fill="F0F0F0"/>
          </w:tcPr>
          <w:p>
            <w:pPr>
              <w:jc w:val="center"/>
              <w:spacing w:line="240" w:lineRule="auto" w:after="0"/>
            </w:pPr>
            <w:r>
              <w:rPr>
                <w:b/>
                <w:sz w:val="21"/>
              </w:rPr>
              <w:t>Selection Rationale</w:t>
            </w:r>
          </w:p>
        </w:tc>
      </w:tr>
      <w:tr>
        <w:tc>
          <w:tcPr>
            <w:tcW w:w="2200" w:type="dxa"/>
          </w:tcPr>
          <w:p>
            <w:pPr>
              <w:jc w:val="left"/>
              <w:spacing w:line="240" w:lineRule="auto" w:after="0"/>
            </w:pPr>
            <w:r>
              <w:rPr>
                <w:sz w:val="21"/>
              </w:rPr>
              <w:t>Next.js 14</w:t>
            </w:r>
          </w:p>
        </w:tc>
        <w:tc>
          <w:tcPr>
            <w:tcW w:w="3200" w:type="dxa"/>
          </w:tcPr>
          <w:p>
            <w:pPr>
              <w:jc w:val="left"/>
              <w:spacing w:line="240" w:lineRule="auto" w:after="0"/>
            </w:pPr>
            <w:r>
              <w:rPr>
                <w:sz w:val="21"/>
              </w:rPr>
              <w:t>Full-Stack Web Framework</w:t>
            </w:r>
          </w:p>
        </w:tc>
        <w:tc>
          <w:tcPr>
            <w:tcW w:w="4000" w:type="dxa"/>
          </w:tcPr>
          <w:p>
            <w:pPr>
              <w:jc w:val="left"/>
              <w:spacing w:line="240" w:lineRule="auto" w:after="0"/>
            </w:pPr>
            <w:r>
              <w:rPr>
                <w:sz w:val="21"/>
              </w:rPr>
              <w:t>App Router provides React Server Components and fast client transitions</w:t>
            </w:r>
          </w:p>
        </w:tc>
      </w:tr>
      <w:tr>
        <w:tc>
          <w:tcPr>
            <w:tcW w:w="2200" w:type="dxa"/>
          </w:tcPr>
          <w:p>
            <w:pPr>
              <w:jc w:val="left"/>
              <w:spacing w:line="240" w:lineRule="auto" w:after="0"/>
            </w:pPr>
            <w:r>
              <w:rPr>
                <w:sz w:val="21"/>
              </w:rPr>
              <w:t>TypeScript</w:t>
            </w:r>
          </w:p>
        </w:tc>
        <w:tc>
          <w:tcPr>
            <w:tcW w:w="3200" w:type="dxa"/>
          </w:tcPr>
          <w:p>
            <w:pPr>
              <w:jc w:val="left"/>
              <w:spacing w:line="240" w:lineRule="auto" w:after="0"/>
            </w:pPr>
            <w:r>
              <w:rPr>
                <w:sz w:val="21"/>
              </w:rPr>
              <w:t>Programming Language</w:t>
            </w:r>
          </w:p>
        </w:tc>
        <w:tc>
          <w:tcPr>
            <w:tcW w:w="4000" w:type="dxa"/>
          </w:tcPr>
          <w:p>
            <w:pPr>
              <w:jc w:val="left"/>
              <w:spacing w:line="240" w:lineRule="auto" w:after="0"/>
            </w:pPr>
            <w:r>
              <w:rPr>
                <w:sz w:val="21"/>
              </w:rPr>
              <w:t>Strict type safety prevents null-pointer and financial calculation errors</w:t>
            </w:r>
          </w:p>
        </w:tc>
      </w:tr>
      <w:tr>
        <w:tc>
          <w:tcPr>
            <w:tcW w:w="2200" w:type="dxa"/>
          </w:tcPr>
          <w:p>
            <w:pPr>
              <w:jc w:val="left"/>
              <w:spacing w:line="240" w:lineRule="auto" w:after="0"/>
            </w:pPr>
            <w:r>
              <w:rPr>
                <w:sz w:val="21"/>
              </w:rPr>
              <w:t>Tailwind CSS 3.4</w:t>
            </w:r>
          </w:p>
        </w:tc>
        <w:tc>
          <w:tcPr>
            <w:tcW w:w="3200" w:type="dxa"/>
          </w:tcPr>
          <w:p>
            <w:pPr>
              <w:jc w:val="left"/>
              <w:spacing w:line="240" w:lineRule="auto" w:after="0"/>
            </w:pPr>
            <w:r>
              <w:rPr>
                <w:sz w:val="21"/>
              </w:rPr>
              <w:t>Utility-First Styling</w:t>
            </w:r>
          </w:p>
        </w:tc>
        <w:tc>
          <w:tcPr>
            <w:tcW w:w="4000" w:type="dxa"/>
          </w:tcPr>
          <w:p>
            <w:pPr>
              <w:jc w:val="left"/>
              <w:spacing w:line="240" w:lineRule="auto" w:after="0"/>
            </w:pPr>
            <w:r>
              <w:rPr>
                <w:sz w:val="21"/>
              </w:rPr>
              <w:t>Precise implementation of dark-mode tokens, borders, and responsive layouts</w:t>
            </w:r>
          </w:p>
        </w:tc>
      </w:tr>
      <w:tr>
        <w:tc>
          <w:tcPr>
            <w:tcW w:w="2200" w:type="dxa"/>
          </w:tcPr>
          <w:p>
            <w:pPr>
              <w:jc w:val="left"/>
              <w:spacing w:line="240" w:lineRule="auto" w:after="0"/>
            </w:pPr>
            <w:r>
              <w:rPr>
                <w:sz w:val="21"/>
              </w:rPr>
              <w:t>Supabase</w:t>
            </w:r>
          </w:p>
        </w:tc>
        <w:tc>
          <w:tcPr>
            <w:tcW w:w="3200" w:type="dxa"/>
          </w:tcPr>
          <w:p>
            <w:pPr>
              <w:jc w:val="left"/>
              <w:spacing w:line="240" w:lineRule="auto" w:after="0"/>
            </w:pPr>
            <w:r>
              <w:rPr>
                <w:sz w:val="21"/>
              </w:rPr>
              <w:t>Cloud Database &amp; Auth</w:t>
            </w:r>
          </w:p>
        </w:tc>
        <w:tc>
          <w:tcPr>
            <w:tcW w:w="4000" w:type="dxa"/>
          </w:tcPr>
          <w:p>
            <w:pPr>
              <w:jc w:val="left"/>
              <w:spacing w:line="240" w:lineRule="auto" w:after="0"/>
            </w:pPr>
            <w:r>
              <w:rPr>
                <w:sz w:val="21"/>
              </w:rPr>
              <w:t>Managed PostgreSQL with Row Level Security (RLS) for data isolation</w:t>
            </w:r>
          </w:p>
        </w:tc>
      </w:tr>
      <w:tr>
        <w:tc>
          <w:tcPr>
            <w:tcW w:w="2200" w:type="dxa"/>
          </w:tcPr>
          <w:p>
            <w:pPr>
              <w:jc w:val="left"/>
              <w:spacing w:line="240" w:lineRule="auto" w:after="0"/>
            </w:pPr>
            <w:r>
              <w:rPr>
                <w:sz w:val="21"/>
              </w:rPr>
              <w:t>Recharts</w:t>
            </w:r>
          </w:p>
        </w:tc>
        <w:tc>
          <w:tcPr>
            <w:tcW w:w="3200" w:type="dxa"/>
          </w:tcPr>
          <w:p>
            <w:pPr>
              <w:jc w:val="left"/>
              <w:spacing w:line="240" w:lineRule="auto" w:after="0"/>
            </w:pPr>
            <w:r>
              <w:rPr>
                <w:sz w:val="21"/>
              </w:rPr>
              <w:t>Interactive Visualization</w:t>
            </w:r>
          </w:p>
        </w:tc>
        <w:tc>
          <w:tcPr>
            <w:tcW w:w="4000" w:type="dxa"/>
          </w:tcPr>
          <w:p>
            <w:pPr>
              <w:jc w:val="left"/>
              <w:spacing w:line="240" w:lineRule="auto" w:after="0"/>
            </w:pPr>
            <w:r>
              <w:rPr>
                <w:sz w:val="21"/>
              </w:rPr>
              <w:t>Declarative SVG charting for burn-rate area curves and category donuts</w:t>
            </w:r>
          </w:p>
        </w:tc>
      </w:tr>
      <w:tr>
        <w:tc>
          <w:tcPr>
            <w:tcW w:w="2200" w:type="dxa"/>
          </w:tcPr>
          <w:p>
            <w:pPr>
              <w:jc w:val="left"/>
              <w:spacing w:line="240" w:lineRule="auto" w:after="0"/>
            </w:pPr>
            <w:r>
              <w:rPr>
                <w:sz w:val="21"/>
              </w:rPr>
              <w:t>Zod</w:t>
            </w:r>
          </w:p>
        </w:tc>
        <w:tc>
          <w:tcPr>
            <w:tcW w:w="3200" w:type="dxa"/>
          </w:tcPr>
          <w:p>
            <w:pPr>
              <w:jc w:val="left"/>
              <w:spacing w:line="240" w:lineRule="auto" w:after="0"/>
            </w:pPr>
            <w:r>
              <w:rPr>
                <w:sz w:val="21"/>
              </w:rPr>
              <w:t>Schema Validation</w:t>
            </w:r>
          </w:p>
        </w:tc>
        <w:tc>
          <w:tcPr>
            <w:tcW w:w="4000" w:type="dxa"/>
          </w:tcPr>
          <w:p>
            <w:pPr>
              <w:jc w:val="left"/>
              <w:spacing w:line="240" w:lineRule="auto" w:after="0"/>
            </w:pPr>
            <w:r>
              <w:rPr>
                <w:sz w:val="21"/>
              </w:rPr>
              <w:t>Unified, type-safe validation shared between client forms and server actions</w:t>
            </w:r>
          </w:p>
        </w:tc>
      </w:tr>
      <w:tr>
        <w:tc>
          <w:tcPr>
            <w:tcW w:w="2200" w:type="dxa"/>
          </w:tcPr>
          <w:p>
            <w:pPr>
              <w:jc w:val="left"/>
              <w:spacing w:line="240" w:lineRule="auto" w:after="0"/>
            </w:pPr>
            <w:r>
              <w:rPr>
                <w:sz w:val="21"/>
              </w:rPr>
              <w:t>React Hook Form</w:t>
            </w:r>
          </w:p>
        </w:tc>
        <w:tc>
          <w:tcPr>
            <w:tcW w:w="3200" w:type="dxa"/>
          </w:tcPr>
          <w:p>
            <w:pPr>
              <w:jc w:val="left"/>
              <w:spacing w:line="240" w:lineRule="auto" w:after="0"/>
            </w:pPr>
            <w:r>
              <w:rPr>
                <w:sz w:val="21"/>
              </w:rPr>
              <w:t>Form State Management</w:t>
            </w:r>
          </w:p>
        </w:tc>
        <w:tc>
          <w:tcPr>
            <w:tcW w:w="4000" w:type="dxa"/>
          </w:tcPr>
          <w:p>
            <w:pPr>
              <w:jc w:val="left"/>
              <w:spacing w:line="240" w:lineRule="auto" w:after="0"/>
            </w:pPr>
            <w:r>
              <w:rPr>
                <w:sz w:val="21"/>
              </w:rPr>
              <w:t>Performant, uncontrolled form rendering minimizing unnecessary re-renders</w:t>
            </w:r>
          </w:p>
        </w:tc>
      </w:tr>
      <w:tr>
        <w:tc>
          <w:tcPr>
            <w:tcW w:w="2200" w:type="dxa"/>
          </w:tcPr>
          <w:p>
            <w:pPr>
              <w:jc w:val="left"/>
              <w:spacing w:line="240" w:lineRule="auto" w:after="0"/>
            </w:pPr>
            <w:r>
              <w:rPr>
                <w:sz w:val="21"/>
              </w:rPr>
              <w:t>date-fns</w:t>
            </w:r>
          </w:p>
        </w:tc>
        <w:tc>
          <w:tcPr>
            <w:tcW w:w="3200" w:type="dxa"/>
          </w:tcPr>
          <w:p>
            <w:pPr>
              <w:jc w:val="left"/>
              <w:spacing w:line="240" w:lineRule="auto" w:after="0"/>
            </w:pPr>
            <w:r>
              <w:rPr>
                <w:sz w:val="21"/>
              </w:rPr>
              <w:t>Date Computation</w:t>
            </w:r>
          </w:p>
        </w:tc>
        <w:tc>
          <w:tcPr>
            <w:tcW w:w="4000" w:type="dxa"/>
          </w:tcPr>
          <w:p>
            <w:pPr>
              <w:jc w:val="left"/>
              <w:spacing w:line="240" w:lineRule="auto" w:after="0"/>
            </w:pPr>
            <w:r>
              <w:rPr>
                <w:sz w:val="21"/>
              </w:rPr>
              <w:t>Pure, immutable date calculation functions handling leap years and cycle offsets</w:t>
            </w:r>
          </w:p>
        </w:tc>
      </w:tr>
      <w:tr>
        <w:tc>
          <w:tcPr>
            <w:tcW w:w="2200" w:type="dxa"/>
          </w:tcPr>
          <w:p>
            <w:pPr>
              <w:jc w:val="left"/>
              <w:spacing w:line="240" w:lineRule="auto" w:after="0"/>
            </w:pPr>
            <w:r>
              <w:rPr>
                <w:sz w:val="21"/>
              </w:rPr>
              <w:t>Lucide React</w:t>
            </w:r>
          </w:p>
        </w:tc>
        <w:tc>
          <w:tcPr>
            <w:tcW w:w="3200" w:type="dxa"/>
          </w:tcPr>
          <w:p>
            <w:pPr>
              <w:jc w:val="left"/>
              <w:spacing w:line="240" w:lineRule="auto" w:after="0"/>
            </w:pPr>
            <w:r>
              <w:rPr>
                <w:sz w:val="21"/>
              </w:rPr>
              <w:t>Iconography</w:t>
            </w:r>
          </w:p>
        </w:tc>
        <w:tc>
          <w:tcPr>
            <w:tcW w:w="4000" w:type="dxa"/>
          </w:tcPr>
          <w:p>
            <w:pPr>
              <w:jc w:val="left"/>
              <w:spacing w:line="240" w:lineRule="auto" w:after="0"/>
            </w:pPr>
            <w:r>
              <w:rPr>
                <w:sz w:val="21"/>
              </w:rPr>
              <w:t>Lightweight, consistent SVG icon set matching modern fintech interfaces</w:t>
            </w:r>
          </w:p>
        </w:tc>
      </w:tr>
      <w:tr>
        <w:tc>
          <w:tcPr>
            <w:tcW w:w="2200" w:type="dxa"/>
          </w:tcPr>
          <w:p>
            <w:pPr>
              <w:jc w:val="left"/>
              <w:spacing w:line="240" w:lineRule="auto" w:after="0"/>
            </w:pPr>
            <w:r>
              <w:rPr>
                <w:sz w:val="21"/>
              </w:rPr>
              <w:t>Vitest</w:t>
            </w:r>
          </w:p>
        </w:tc>
        <w:tc>
          <w:tcPr>
            <w:tcW w:w="3200" w:type="dxa"/>
          </w:tcPr>
          <w:p>
            <w:pPr>
              <w:jc w:val="left"/>
              <w:spacing w:line="240" w:lineRule="auto" w:after="0"/>
            </w:pPr>
            <w:r>
              <w:rPr>
                <w:sz w:val="21"/>
              </w:rPr>
              <w:t>Unit Testing Suite</w:t>
            </w:r>
          </w:p>
        </w:tc>
        <w:tc>
          <w:tcPr>
            <w:tcW w:w="4000" w:type="dxa"/>
          </w:tcPr>
          <w:p>
            <w:pPr>
              <w:jc w:val="left"/>
              <w:spacing w:line="240" w:lineRule="auto" w:after="0"/>
            </w:pPr>
            <w:r>
              <w:rPr>
                <w:sz w:val="21"/>
              </w:rPr>
              <w:t>High-speed unit test runner verifying calculation accuracy</w:t>
            </w:r>
          </w:p>
        </w:tc>
      </w:tr>
    </w:tbl>
    <w:p>
      <w:pPr>
        <w:spacing w:after="120"/>
      </w:pPr>
    </w:p>
    <w:p>
      <w:pPr>
        <w:jc w:val="center"/>
        <w:spacing w:line="240" w:lineRule="auto" w:after="80"/>
      </w:pPr>
      <w:r>
        <w:rPr>
          <w:rFonts w:ascii="Times New Roman" w:hAnsi="Times New Roman"/>
          <w:sz w:val="22"/>
          <w:szCs w:val="22"/>
          <w:b/>
          <w:bCs/>
        </w:rPr>
        <w:t xml:space="preserve">17</w:t>
      </w:r>
    </w:p>
    <w:p>
      <w:pPr>
        <w:spacing w:after="0"/>
      </w:pPr>
      <w:r>
        <w:br w:type="page"/>
      </w:r>
    </w:p>
    <w:p>
      <w:pPr>
        <w:jc w:val="both"/>
        <w:spacing w:line="360" w:lineRule="auto" w:after="100"/>
      </w:pPr>
      <w:r>
        <w:rPr>
          <w:rFonts w:ascii="Times New Roman" w:hAnsi="Times New Roman"/>
          <w:sz w:val="26"/>
          <w:szCs w:val="26"/>
          <w:b/>
          <w:bCs/>
        </w:rPr>
        <w:t xml:space="preserve">3.5 Expected Output</w:t>
      </w:r>
    </w:p>
    <w:p>
      <w:pPr>
        <w:jc w:val="both"/>
        <w:spacing w:line="360" w:lineRule="auto" w:after="140"/>
        <w:ind w:firstLine="480"/>
      </w:pPr>
      <w:r>
        <w:rPr>
          <w:rFonts w:ascii="Times New Roman" w:hAnsi="Times New Roman"/>
          <w:sz w:val="24"/>
          <w:szCs w:val="24"/>
        </w:rPr>
        <w:t xml:space="preserve">The system delivers deterministic financial totals (verifying seed total at ₹3,849/mo and ₹46,188/yr), actionable dormant expense alerts (3 zombie subscriptions with ₹899/mo savings), proactive trial countdowns (Amazon Prime ends in 48 hours), structured CSV data exports, and instantaneous client-side filter and search responses.</w:t>
      </w:r>
    </w:p>
    <w:p>
      <w:pPr>
        <w:jc w:val="both"/>
        <w:spacing w:line="360" w:lineRule="auto" w:after="100"/>
        <w:ind w:firstLine="480"/>
      </w:pPr>
      <w:r>
        <w:rPr>
          <w:rFonts w:ascii="Times New Roman" w:hAnsi="Times New Roman"/>
          <w:sz w:val="24"/>
          <w:szCs w:val="24"/>
        </w:rPr>
        <w:t xml:space="preserve">By isolating calculation logic from the user interface and utilizing the repository pattern, Vaulty guarantees high reliability, complete user privacy, and an exceptional user experience.</w:t>
      </w:r>
    </w:p>
    <w:p>
      <w:pPr>
        <w:jc w:val="center"/>
        <w:spacing w:line="360" w:lineRule="auto" w:after="140"/>
      </w:pPr>
      <w:r>
        <w:rPr>
          <w:rFonts w:ascii="Times New Roman" w:hAnsi="Times New Roman"/>
          <w:sz w:val="22"/>
          <w:szCs w:val="22"/>
          <w:b/>
          <w:bCs/>
        </w:rPr>
        <w:t xml:space="preserve">18</w:t>
      </w:r>
    </w:p>
    <w:sectPr>
      <w:pgSz w:w="11906" w:h="16838"/>
      <w:pgMar w:top="1134" w:right="1134" w:bottom="1134" w:left="1134" w:header="708" w:footer="708" w:gutter="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</w:sectPr>
  </w:body>
</w:document>
</file>

<file path=word/styles.xml><?xml version="1.0" encoding="utf-8"?>
<w:styles xmlns:w="http://schemas.openxmlformats.org/wordprocessingml/2006/main">
  <w:style w:type="character" w:styleId="Hyperlink">
    <w:name w:val="Hyperlink"/>
    <w:rPr>
      <w:color w:val="0563C1"/>
      <w:u w:val="single"/>
    </w:rPr>
  </w:style>
  <w:docDefaults>
    <w:rPrDefault>
      <w:rPr>
        <w:rFonts w:ascii="Times New Roman" w:hAnsi="Times New Roman" w:cs="Times New Roman"/>
        <w:sz w:val="24"/>
        <w:szCs w:val="24"/>
      </w:rPr>
    </w:rPrDefault>
    <w:pPrDefault>
      <w:pPr>
        <w:spacing w:line="360" w:lineRule="auto" w:after="140"/>
        <w:jc w:val="both"/>
      </w:pPr>
    </w:p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
  
</Relationships>
</file>

<file path=docProps/core.xml><?xml version="1.0" encoding="utf-8"?>
<cp:coreProperties xmlns:cp="http://schemas.openxmlformats.org/package/2006/metadata/core-properties" xmlns:dc="http://purl.org/dc/elements/1.1/">
  <dc:title>VAULTY Minor Project Report (BCA-508)</dc:title>
  <dc:creator>Lakshya Singh</dc:creator>
</cp:coreProperties>
</file>