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line="360" w:lineRule="auto" w:after="200"/>
      </w:pPr>
      <w:r>
        <w:rPr>
          <w:rFonts w:ascii="Times New Roman" w:hAnsi="Times New Roman"/>
          <w:sz w:val="32"/>
          <w:szCs w:val="32"/>
          <w:b/>
          <w:bCs/>
          <w:u w:val="single"/>
        </w:rPr>
        <w:t xml:space="preserve">CHAPTER 4: EXPERIMENTS, SIMULATION &amp; TESTING</w:t>
      </w:r>
    </w:p>
    <w:p>
      <w:pPr>
        <w:jc w:val="both"/>
        <w:spacing w:line="360" w:lineRule="auto" w:after="100"/>
      </w:pPr>
      <w:r>
        <w:rPr>
          <w:rFonts w:ascii="Times New Roman" w:hAnsi="Times New Roman"/>
          <w:sz w:val="26"/>
          <w:szCs w:val="26"/>
          <w:b/>
          <w:bCs/>
        </w:rPr>
        <w:t xml:space="preserve">4.1 Experimental Setup</w:t>
      </w:r>
    </w:p>
    <w:p>
      <w:pPr>
        <w:jc w:val="both"/>
        <w:spacing w:line="360" w:lineRule="auto" w:after="140"/>
        <w:ind w:firstLine="480"/>
      </w:pPr>
      <w:r>
        <w:rPr>
          <w:rFonts w:ascii="Times New Roman" w:hAnsi="Times New Roman"/>
          <w:sz w:val="24"/>
          <w:szCs w:val="24"/>
        </w:rPr>
        <w:t xml:space="preserve">The testing environment comprises Node.js 20 LTS on Apple Silicon macOS, executing under strict TypeScript configuration with Vitest as the high-speed unit test runner. Component testing simulated DOM interactions and localStorage persistence, while integration tests connected to a Supabase PostgreSQL instance with pre-configured RLS policies.</w:t>
      </w:r>
    </w:p>
    <w:p>
      <w:pPr>
        <w:jc w:val="both"/>
        <w:spacing w:line="360" w:lineRule="auto" w:after="100"/>
      </w:pPr>
      <w:r>
        <w:rPr>
          <w:rFonts w:ascii="Times New Roman" w:hAnsi="Times New Roman"/>
          <w:sz w:val="26"/>
          <w:szCs w:val="26"/>
          <w:b/>
          <w:bCs/>
        </w:rPr>
        <w:t xml:space="preserve">4.2 Simulation Process &amp; Test Datasets</w:t>
      </w:r>
    </w:p>
    <w:p>
      <w:pPr>
        <w:jc w:val="both"/>
        <w:spacing w:line="360" w:lineRule="auto" w:after="100"/>
      </w:pPr>
      <w:r>
        <w:rPr>
          <w:rFonts w:ascii="Times New Roman" w:hAnsi="Times New Roman"/>
          <w:sz w:val="24"/>
          <w:szCs w:val="24"/>
        </w:rPr>
        <w:t xml:space="preserve">A benchmark dataset representing Arjun (21-year-old student/professional) was synthesized to test all four billing cycles and alert boundary rules: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tcW w:w="1800" w:type="dxa"/>
            <w:shd w:val="clear" w:color="auto" w:fill="F0F0F0"/>
          </w:tcPr>
          <w:p>
            <w:pPr>
              <w:jc w:val="center"/>
              <w:spacing w:line="240" w:lineRule="auto" w:after="0"/>
            </w:pPr>
            <w:r>
              <w:rPr>
                <w:b/>
                <w:sz w:val="21"/>
              </w:rPr>
              <w:t>Service</w:t>
            </w:r>
          </w:p>
        </w:tc>
        <w:tc>
          <w:tcPr>
            <w:tcW w:w="1500" w:type="dxa"/>
            <w:shd w:val="clear" w:color="auto" w:fill="F0F0F0"/>
          </w:tcPr>
          <w:p>
            <w:pPr>
              <w:jc w:val="center"/>
              <w:spacing w:line="240" w:lineRule="auto" w:after="0"/>
            </w:pPr>
            <w:r>
              <w:rPr>
                <w:b/>
                <w:sz w:val="21"/>
              </w:rPr>
              <w:t>Category</w:t>
            </w:r>
          </w:p>
        </w:tc>
        <w:tc>
          <w:tcPr>
            <w:tcW w:w="1200" w:type="dxa"/>
            <w:shd w:val="clear" w:color="auto" w:fill="F0F0F0"/>
          </w:tcPr>
          <w:p>
            <w:pPr>
              <w:jc w:val="center"/>
              <w:spacing w:line="240" w:lineRule="auto" w:after="0"/>
            </w:pPr>
            <w:r>
              <w:rPr>
                <w:b/>
                <w:sz w:val="21"/>
              </w:rPr>
              <w:t>Cost</w:t>
            </w:r>
          </w:p>
        </w:tc>
        <w:tc>
          <w:tcPr>
            <w:tcW w:w="1400" w:type="dxa"/>
            <w:shd w:val="clear" w:color="auto" w:fill="F0F0F0"/>
          </w:tcPr>
          <w:p>
            <w:pPr>
              <w:jc w:val="center"/>
              <w:spacing w:line="240" w:lineRule="auto" w:after="0"/>
            </w:pPr>
            <w:r>
              <w:rPr>
                <w:b/>
                <w:sz w:val="21"/>
              </w:rPr>
              <w:t>Cycle</w:t>
            </w:r>
          </w:p>
        </w:tc>
        <w:tc>
          <w:tcPr>
            <w:tcW w:w="1500" w:type="dxa"/>
            <w:shd w:val="clear" w:color="auto" w:fill="F0F0F0"/>
          </w:tcPr>
          <w:p>
            <w:pPr>
              <w:jc w:val="center"/>
              <w:spacing w:line="240" w:lineRule="auto" w:after="0"/>
            </w:pPr>
            <w:r>
              <w:rPr>
                <w:b/>
                <w:sz w:val="21"/>
              </w:rPr>
              <w:t>Trial Status</w:t>
            </w:r>
          </w:p>
        </w:tc>
        <w:tc>
          <w:tcPr>
            <w:tcW w:w="2000" w:type="dxa"/>
            <w:shd w:val="clear" w:color="auto" w:fill="F0F0F0"/>
          </w:tcPr>
          <w:p>
            <w:pPr>
              <w:jc w:val="center"/>
              <w:spacing w:line="240" w:lineRule="auto" w:after="0"/>
            </w:pPr>
            <w:r>
              <w:rPr>
                <w:b/>
                <w:sz w:val="21"/>
              </w:rPr>
              <w:t>Simulation State</w:t>
            </w:r>
          </w:p>
        </w:tc>
      </w:tr>
      <w:tr>
        <w:tc>
          <w:tcPr>
            <w:tcW w:w="18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Netflix 4K</w:t>
            </w:r>
          </w:p>
        </w:tc>
        <w:tc>
          <w:tcPr>
            <w:tcW w:w="15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Streaming</w:t>
            </w:r>
          </w:p>
        </w:tc>
        <w:tc>
          <w:tcPr>
            <w:tcW w:w="12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₹649.00</w:t>
            </w:r>
          </w:p>
        </w:tc>
        <w:tc>
          <w:tcPr>
            <w:tcW w:w="14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Monthly</w:t>
            </w:r>
          </w:p>
        </w:tc>
        <w:tc>
          <w:tcPr>
            <w:tcW w:w="15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Paid Plan</w:t>
            </w:r>
          </w:p>
        </w:tc>
        <w:tc>
          <w:tcPr>
            <w:tcW w:w="20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Active Spend</w:t>
            </w:r>
          </w:p>
        </w:tc>
      </w:tr>
      <w:tr>
        <w:tc>
          <w:tcPr>
            <w:tcW w:w="18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Spotify Duo</w:t>
            </w:r>
          </w:p>
        </w:tc>
        <w:tc>
          <w:tcPr>
            <w:tcW w:w="15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Streaming</w:t>
            </w:r>
          </w:p>
        </w:tc>
        <w:tc>
          <w:tcPr>
            <w:tcW w:w="12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₹149.00</w:t>
            </w:r>
          </w:p>
        </w:tc>
        <w:tc>
          <w:tcPr>
            <w:tcW w:w="14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Monthly</w:t>
            </w:r>
          </w:p>
        </w:tc>
        <w:tc>
          <w:tcPr>
            <w:tcW w:w="15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Paid Plan</w:t>
            </w:r>
          </w:p>
        </w:tc>
        <w:tc>
          <w:tcPr>
            <w:tcW w:w="20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Active Spend</w:t>
            </w:r>
          </w:p>
        </w:tc>
      </w:tr>
      <w:tr>
        <w:tc>
          <w:tcPr>
            <w:tcW w:w="18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Amazon Prime</w:t>
            </w:r>
          </w:p>
        </w:tc>
        <w:tc>
          <w:tcPr>
            <w:tcW w:w="15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Streaming</w:t>
            </w:r>
          </w:p>
        </w:tc>
        <w:tc>
          <w:tcPr>
            <w:tcW w:w="12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₹299.00</w:t>
            </w:r>
          </w:p>
        </w:tc>
        <w:tc>
          <w:tcPr>
            <w:tcW w:w="14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Monthly</w:t>
            </w:r>
          </w:p>
        </w:tc>
        <w:tc>
          <w:tcPr>
            <w:tcW w:w="15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Trial (+48h)</w:t>
            </w:r>
          </w:p>
        </w:tc>
        <w:tc>
          <w:tcPr>
            <w:tcW w:w="20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Radar Alert (&lt;=48h)</w:t>
            </w:r>
          </w:p>
        </w:tc>
      </w:tr>
      <w:tr>
        <w:tc>
          <w:tcPr>
            <w:tcW w:w="18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Claude Pro</w:t>
            </w:r>
          </w:p>
        </w:tc>
        <w:tc>
          <w:tcPr>
            <w:tcW w:w="15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AI Tools</w:t>
            </w:r>
          </w:p>
        </w:tc>
        <w:tc>
          <w:tcPr>
            <w:tcW w:w="12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₹1,700.00</w:t>
            </w:r>
          </w:p>
        </w:tc>
        <w:tc>
          <w:tcPr>
            <w:tcW w:w="14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Monthly</w:t>
            </w:r>
          </w:p>
        </w:tc>
        <w:tc>
          <w:tcPr>
            <w:tcW w:w="15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Paid Plan</w:t>
            </w:r>
          </w:p>
        </w:tc>
        <w:tc>
          <w:tcPr>
            <w:tcW w:w="20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Active Spend</w:t>
            </w:r>
          </w:p>
        </w:tc>
      </w:tr>
      <w:tr>
        <w:tc>
          <w:tcPr>
            <w:tcW w:w="18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ChatGPT Plus</w:t>
            </w:r>
          </w:p>
        </w:tc>
        <w:tc>
          <w:tcPr>
            <w:tcW w:w="15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AI Tools</w:t>
            </w:r>
          </w:p>
        </w:tc>
        <w:tc>
          <w:tcPr>
            <w:tcW w:w="12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₹1,700.00</w:t>
            </w:r>
          </w:p>
        </w:tc>
        <w:tc>
          <w:tcPr>
            <w:tcW w:w="14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Monthly</w:t>
            </w:r>
          </w:p>
        </w:tc>
        <w:tc>
          <w:tcPr>
            <w:tcW w:w="15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Paid Plan</w:t>
            </w:r>
          </w:p>
        </w:tc>
        <w:tc>
          <w:tcPr>
            <w:tcW w:w="20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Active Spend</w:t>
            </w:r>
          </w:p>
        </w:tc>
      </w:tr>
      <w:tr>
        <w:tc>
          <w:tcPr>
            <w:tcW w:w="18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Cult.fit Gym</w:t>
            </w:r>
          </w:p>
        </w:tc>
        <w:tc>
          <w:tcPr>
            <w:tcW w:w="15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Gym/Health</w:t>
            </w:r>
          </w:p>
        </w:tc>
        <w:tc>
          <w:tcPr>
            <w:tcW w:w="12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₹899.00</w:t>
            </w:r>
          </w:p>
        </w:tc>
        <w:tc>
          <w:tcPr>
            <w:tcW w:w="14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Monthly</w:t>
            </w:r>
          </w:p>
        </w:tc>
        <w:tc>
          <w:tcPr>
            <w:tcW w:w="15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Paid Plan</w:t>
            </w:r>
          </w:p>
        </w:tc>
        <w:tc>
          <w:tcPr>
            <w:tcW w:w="20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Zombie (Save ₹899)</w:t>
            </w:r>
          </w:p>
        </w:tc>
      </w:tr>
      <w:tr>
        <w:tc>
          <w:tcPr>
            <w:tcW w:w="18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Google One</w:t>
            </w:r>
          </w:p>
        </w:tc>
        <w:tc>
          <w:tcPr>
            <w:tcW w:w="15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Cloud</w:t>
            </w:r>
          </w:p>
        </w:tc>
        <w:tc>
          <w:tcPr>
            <w:tcW w:w="12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₹130.00</w:t>
            </w:r>
          </w:p>
        </w:tc>
        <w:tc>
          <w:tcPr>
            <w:tcW w:w="14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Monthly</w:t>
            </w:r>
          </w:p>
        </w:tc>
        <w:tc>
          <w:tcPr>
            <w:tcW w:w="15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Paid Plan</w:t>
            </w:r>
          </w:p>
        </w:tc>
        <w:tc>
          <w:tcPr>
            <w:tcW w:w="20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Active Spend</w:t>
            </w:r>
          </w:p>
        </w:tc>
      </w:tr>
      <w:tr>
        <w:tc>
          <w:tcPr>
            <w:tcW w:w="18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iCloud 200GB</w:t>
            </w:r>
          </w:p>
        </w:tc>
        <w:tc>
          <w:tcPr>
            <w:tcW w:w="15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Cloud</w:t>
            </w:r>
          </w:p>
        </w:tc>
        <w:tc>
          <w:tcPr>
            <w:tcW w:w="12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₹219.00</w:t>
            </w:r>
          </w:p>
        </w:tc>
        <w:tc>
          <w:tcPr>
            <w:tcW w:w="14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Monthly</w:t>
            </w:r>
          </w:p>
        </w:tc>
        <w:tc>
          <w:tcPr>
            <w:tcW w:w="15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Paid Plan</w:t>
            </w:r>
          </w:p>
        </w:tc>
        <w:tc>
          <w:tcPr>
            <w:tcW w:w="20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Zombie Detected</w:t>
            </w:r>
          </w:p>
        </w:tc>
      </w:tr>
      <w:tr>
        <w:tc>
          <w:tcPr>
            <w:tcW w:w="18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Xbox Game Pass</w:t>
            </w:r>
          </w:p>
        </w:tc>
        <w:tc>
          <w:tcPr>
            <w:tcW w:w="15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Gaming</w:t>
            </w:r>
          </w:p>
        </w:tc>
        <w:tc>
          <w:tcPr>
            <w:tcW w:w="12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₹349.00</w:t>
            </w:r>
          </w:p>
        </w:tc>
        <w:tc>
          <w:tcPr>
            <w:tcW w:w="14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Monthly</w:t>
            </w:r>
          </w:p>
        </w:tc>
        <w:tc>
          <w:tcPr>
            <w:tcW w:w="1500" w:type="dxa"/>
          </w:tcPr>
          <w:p>
            <w:pPr>
              <w:jc w:val="center"/>
              <w:spacing w:line="240" w:lineRule="auto" w:after="0"/>
            </w:pPr>
            <w:r>
              <w:rPr>
                <w:sz w:val="21"/>
              </w:rPr>
              <w:t>Paid Plan</w:t>
            </w:r>
          </w:p>
        </w:tc>
        <w:tc>
          <w:tcPr>
            <w:tcW w:w="20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Zombie Detected</w:t>
            </w:r>
          </w:p>
        </w:tc>
      </w:tr>
    </w:tbl>
    <w:p>
      <w:pPr>
        <w:spacing w:after="120"/>
      </w:pPr>
    </w:p>
    <w:p>
      <w:pPr>
        <w:jc w:val="center"/>
        <w:spacing w:line="240" w:lineRule="auto" w:after="80"/>
      </w:pPr>
      <w:r>
        <w:rPr>
          <w:rFonts w:ascii="Times New Roman" w:hAnsi="Times New Roman"/>
          <w:sz w:val="22"/>
          <w:szCs w:val="22"/>
          <w:b/>
          <w:bCs/>
        </w:rPr>
        <w:t xml:space="preserve">19</w:t>
      </w:r>
    </w:p>
    <w:p>
      <w:pPr>
        <w:spacing w:after="0"/>
      </w:pPr>
      <w:r>
        <w:br w:type="page"/>
      </w:r>
    </w:p>
    <w:p>
      <w:pPr>
        <w:jc w:val="both"/>
        <w:spacing w:line="360" w:lineRule="auto" w:after="100"/>
      </w:pPr>
      <w:r>
        <w:rPr>
          <w:rFonts w:ascii="Times New Roman" w:hAnsi="Times New Roman"/>
          <w:sz w:val="26"/>
          <w:szCs w:val="26"/>
          <w:b/>
          <w:bCs/>
        </w:rPr>
        <w:t xml:space="preserve">4.3 Testing of the System (Unit &amp; Boundary Tests)</w:t>
      </w:r>
    </w:p>
    <w:p>
      <w:pPr>
        <w:jc w:val="both"/>
        <w:spacing w:line="360" w:lineRule="auto" w:after="140"/>
        <w:ind w:firstLine="480"/>
      </w:pPr>
      <w:r>
        <w:rPr>
          <w:rFonts w:ascii="Times New Roman" w:hAnsi="Times New Roman"/>
          <w:sz w:val="24"/>
          <w:szCs w:val="24"/>
        </w:rPr>
        <w:t xml:space="preserve">Automated tests verified: (1) Normalization accuracy for weekly, quarterly, and yearly intervals, (2) Zombie boundary condition where inactivity &lt; 30 days is false and &gt;= 30 days is true, (3) Roll-forward logic advancing past billing dates across calendar boundaries, and (4) Safe division handling when previous month spend is zero.</w:t>
      </w:r>
    </w:p>
    <w:p>
      <w:pPr>
        <w:jc w:val="both"/>
        <w:spacing w:line="360" w:lineRule="auto" w:after="100"/>
      </w:pPr>
      <w:r>
        <w:rPr>
          <w:rFonts w:ascii="Times New Roman" w:hAnsi="Times New Roman"/>
          <w:sz w:val="26"/>
          <w:szCs w:val="26"/>
          <w:b/>
          <w:bCs/>
        </w:rPr>
        <w:t xml:space="preserve">4.4 Results and Observations</w:t>
      </w:r>
    </w:p>
    <w:tbl>
      <w:tblPr>
        <w:tblW w:w="9400" w:type="dxa"/>
        <w:tblBorders>
          <w:top w:val="single" w:sz="6" w:color="555555"/>
          <w:left w:val="single" w:sz="6" w:color="555555"/>
          <w:bottom w:val="single" w:sz="6" w:color="555555"/>
          <w:right w:val="single" w:sz="6" w:color="555555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val="clear" w:color="auto" w:fill="F9F9F9"/>
          </w:tcPr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✓ tests/calc.test.ts (8 tests)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   ✓ toMonthly correctly normalizes weekly, quarterly, and yearly cycles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   ✓ monthlyBleed correctly aggregates only active subscriptions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   ✓ monthlyBleed excludes paused and cancelled subscriptions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   ✓ isZombie flags services inactive for &gt;= 30 days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   ✓ isZombie ignores non-active subscriptions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   ✓ rollForward correctly advances past dates to next valid cycle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   ✓ trialsEndingSoon correctly isolates trials within specified window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   ✓ categoryBreakdown outputs accurate segment percentages summing to 100%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/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 Test Files  1 passed (1)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      Tests  8 passed (8)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   Duration  214ms</w:t>
            </w:r>
          </w:p>
        </w:tc>
      </w:tr>
    </w:tbl>
    <w:p>
      <w:pPr>
        <w:spacing w:after="120"/>
      </w:pPr>
    </w:p>
    <w:p>
      <w:pPr>
        <w:jc w:val="both"/>
        <w:spacing w:line="360" w:lineRule="auto" w:after="100"/>
      </w:pPr>
      <w:r>
        <w:rPr>
          <w:rFonts w:ascii="Times New Roman" w:hAnsi="Times New Roman"/>
          <w:sz w:val="26"/>
          <w:szCs w:val="26"/>
          <w:b/>
          <w:bCs/>
        </w:rPr>
        <w:t xml:space="preserve">4.5 Conclusion</w:t>
      </w:r>
    </w:p>
    <w:p>
      <w:pPr>
        <w:jc w:val="both"/>
        <w:spacing w:line="360" w:lineRule="auto" w:after="100"/>
        <w:ind w:firstLine="480"/>
      </w:pPr>
      <w:r>
        <w:rPr>
          <w:rFonts w:ascii="Times New Roman" w:hAnsi="Times New Roman"/>
          <w:sz w:val="24"/>
          <w:szCs w:val="24"/>
        </w:rPr>
        <w:t xml:space="preserve">All unit test assertions passed with zero errors in 214ms, confirming that the mathematical calculations and alert boundaries in Vaulty are deterministic, resilient, and ready for production use.</w:t>
      </w:r>
    </w:p>
    <w:p>
      <w:pPr>
        <w:jc w:val="center"/>
        <w:spacing w:line="360" w:lineRule="auto" w:after="140"/>
      </w:pPr>
      <w:r>
        <w:rPr>
          <w:rFonts w:ascii="Times New Roman" w:hAnsi="Times New Roman"/>
          <w:sz w:val="22"/>
          <w:szCs w:val="22"/>
          <w:b/>
          <w:bCs/>
        </w:rPr>
        <w:t xml:space="preserve">20</w:t>
      </w:r>
    </w:p>
    <w:sectPr>
      <w:pgSz w:w="11906" w:h="16838"/>
      <w:pgMar w:top="1134" w:right="1134" w:bottom="1134" w:left="1134" w:header="708" w:footer="708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</w:sectPr>
  </w:body>
</w:document>
</file>

<file path=word/styles.xml><?xml version="1.0" encoding="utf-8"?>
<w:styles xmlns:w="http://schemas.openxmlformats.org/wordprocessingml/2006/main">
  <w:style w:type="character" w:styleId="Hyperlink">
    <w:name w:val="Hyperlink"/>
    <w:rPr>
      <w:color w:val="0563C1"/>
      <w:u w:val="single"/>
    </w:rPr>
  </w:style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line="360" w:lineRule="auto" w:after="140"/>
        <w:jc w:val="both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
  
</Relationships>
</file>

<file path=docProps/core.xml><?xml version="1.0" encoding="utf-8"?>
<cp:coreProperties xmlns:cp="http://schemas.openxmlformats.org/package/2006/metadata/core-properties" xmlns:dc="http://purl.org/dc/elements/1.1/">
  <dc:title>VAULTY Minor Project Report (BCA-508)</dc:title>
  <dc:creator>Lakshya Singh</dc:creator>
</cp:coreProperties>
</file>