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CHAPTER 7: RESULTS AND EVALUATION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7.1 Introduction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This chapter presents the empirical evaluation, mathematical verification, and system benchmark results obtained during the operation of Vaulty across functional metrics and performance benchmarks.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7.2 Subscription Spend Detection Results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Testing with the benchmark dataset produced exact mathematical outputs: Monthly Wallet Bleed normalized to exactly ₹3,849.00/month, Annual Commitment Forecast of ₹46,188.00/year, and a Dec forecast of ₹4,120.00.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Monthly Spend (INR)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₹4,500 |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₹4,000 |                                                 * Dec Forecast (₹4,120)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₹3,500 |              *----------------* - - - - - - - -/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₹3,000 |      *------/  (Actual Spend)    (Projected Trajectory)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₹2,500 |_____/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+--------------------------------------------------------&gt;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        Jan  Feb  Mar  Apr  May  Jun  Jul  Aug  Sep  Oct  Nov  Dec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60"/>
      </w:pPr>
      <w:r>
        <w:rPr>
          <w:rFonts w:ascii="Times New Roman" w:hAnsi="Times New Roman"/>
          <w:sz w:val="22"/>
          <w:szCs w:val="22"/>
          <w:b/>
          <w:bCs/>
        </w:rPr>
        <w:t xml:space="preserve">Figure 7.1: Monthly Spend Trajectory (Burn Rate Flow Area Chart)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26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7.3 Alert &amp; Zombie Detection Results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The intelligence scan accurately flagged 3 zombie subscriptions (Cult.fit Gym, iCloud 200GB, Xbox Game Pass) with reclaimable savings of ₹899.00/month (₹10,788.00/year), and triggered an urgent 48-hour alert for the expiring Amazon Prime trial.</w:t>
      </w:r>
    </w:p>
    <w:tbl>
      <w:tblPr>
        <w:tblW w:w="9400" w:type="dxa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shd w:val="clear" w:color="auto" w:fill="F9F9F9"/>
          </w:tcPr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Category Share (%):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[████████████████████] Streaming (50% — ₹1,097/mo)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[██████████]           Gym / Health (25% — ₹899/mo)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[██████]               Cloud Storage (15% — ₹349/mo)</w:t>
            </w:r>
          </w:p>
          <w:p>
            <w:pPr>
              <w:jc w:val="left"/>
              <w:spacing w:line="240" w:lineRule="auto" w:after="0"/>
            </w:pPr>
            <w:r>
              <w:rPr>
                <w:rFonts w:ascii="Courier New" w:hAnsi="Courier New"/>
                <w:sz w:val="18"/>
              </w:rPr>
              <w:t xml:space="preserve">   [████]                 Gaming (10% — ₹349/mo)</w:t>
            </w:r>
          </w:p>
        </w:tc>
      </w:tr>
    </w:tbl>
    <w:p>
      <w:pPr>
        <w:spacing w:after="120"/>
      </w:pP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Figure 7.2: Category Spend Distribution (Donut Chart Visualization)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7.4 System Performance &amp; Benchmark Metrics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30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Metric</w:t>
            </w:r>
          </w:p>
        </w:tc>
        <w:tc>
          <w:tcPr>
            <w:tcW w:w="22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Measured Value</w:t>
            </w:r>
          </w:p>
        </w:tc>
        <w:tc>
          <w:tcPr>
            <w:tcW w:w="22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Benchmark</w:t>
            </w:r>
          </w:p>
        </w:tc>
        <w:tc>
          <w:tcPr>
            <w:tcW w:w="2000" w:type="dxa"/>
            <w:shd w:val="clear" w:color="auto" w:fill="F0F0F0"/>
          </w:tcPr>
          <w:p>
            <w:pPr>
              <w:jc w:val="center"/>
              <w:spacing w:line="240" w:lineRule="auto" w:after="0"/>
            </w:pPr>
            <w:r>
              <w:rPr>
                <w:b/>
                <w:sz w:val="21"/>
              </w:rPr>
              <w:t>Status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First Contentful Paint (FCP)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0.85 seconds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&lt; 1.8 seconds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Excellent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Largest Contentful Paint (LCP)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1.15 seconds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&lt; 2.5 seconds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Excellent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Time to Interactive (TTI)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1.10 seconds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&lt; 3.8 seconds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Excellent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Search &amp; Filter Latency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&lt; 12 ms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&lt; 100 ms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Instant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Lighthouse Performance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96 / 100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&gt; 90 / 100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Passed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Lighthouse Accessibility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98 / 100</w:t>
            </w:r>
          </w:p>
        </w:tc>
        <w:tc>
          <w:tcPr>
            <w:tcW w:w="22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&gt; 90 / 100</w:t>
            </w:r>
          </w:p>
        </w:tc>
        <w:tc>
          <w:tcPr>
            <w:tcW w:w="2000" w:type="dxa"/>
          </w:tcPr>
          <w:p>
            <w:pPr>
              <w:jc w:val="left"/>
              <w:spacing w:line="240" w:lineRule="auto" w:after="0"/>
            </w:pPr>
            <w:r>
              <w:rPr>
                <w:sz w:val="21"/>
              </w:rPr>
              <w:t>Passed</w:t>
            </w:r>
          </w:p>
        </w:tc>
      </w:tr>
    </w:tbl>
    <w:p>
      <w:pPr>
        <w:spacing w:after="120"/>
      </w:pP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27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7.5 Benefits Achieved</w:t>
      </w:r>
    </w:p>
    <w:p>
      <w:pPr>
        <w:jc w:val="both"/>
        <w:spacing w:line="360" w:lineRule="auto" w:after="120"/>
        <w:ind w:firstLine="480"/>
      </w:pPr>
      <w:r>
        <w:rPr>
          <w:rFonts w:ascii="Times New Roman" w:hAnsi="Times New Roman"/>
          <w:sz w:val="24"/>
          <w:szCs w:val="24"/>
        </w:rPr>
        <w:t xml:space="preserve">The project successfully eliminates subscription blindness, enables measurable monthly and annual capital recovery, prevents unwanted trial conversions, and maintains zero exposure of banking credentials.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Vaulty fulfills all core functional, architectural, and security requirements defined for the BCA-508 minor project evaluation.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28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