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line="360" w:lineRule="auto" w:after="200"/>
      </w:pPr>
      <w:r>
        <w:rPr>
          <w:rFonts w:ascii="Times New Roman" w:hAnsi="Times New Roman"/>
          <w:sz w:val="32"/>
          <w:szCs w:val="32"/>
          <w:b/>
          <w:bCs/>
          <w:u w:val="single"/>
        </w:rPr>
        <w:t xml:space="preserve">CHAPTER 8: SOFTWARE AND TOOLS USED</w:t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8.1 Frontend Framework and Styling Environment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1. Next.js 14 (App Router): Provides server-rendered HTML shells, file-based routing with route groups ((app) and (auth)), and server actions for mutation logic.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2. React 18 &amp; TypeScript: Strict type safety across subscription entities, pure computation pipelines, and memoized hooks for 60 FPS UI rendering.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3. Tailwind CSS 3.4: Custom design token mapping for dark glassmorphism (rgba(255,255,255,0.03)), neon borders, and tabular numbers.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4. Recharts Library: High-performance SVG visualization rendering monotone curves for burn-rate trajectories and category donuts.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29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8.2 Backend, Authentication and Database Tools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1. Supabase PostgreSQL: Managed relational database supporting ACID transactions, foreign keys, check constraints, and Row Level Security.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2. Supabase Auth: Secure user registration, encrypted credential storage, and JWT token lifecycle management.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3. LocalRepository &amp; Browser LocalStorage: Standalone repository enabling 100% offline demonstration mode with pre-seeded data.</w:t>
      </w:r>
    </w:p>
    <w:p>
      <w:pPr>
        <w:jc w:val="both"/>
        <w:spacing w:line="360" w:lineRule="auto" w:after="140"/>
        <w:ind w:firstLine="480"/>
      </w:pPr>
      <w:r>
        <w:rPr>
          <w:rFonts w:ascii="Times New Roman" w:hAnsi="Times New Roman"/>
          <w:sz w:val="24"/>
          <w:szCs w:val="24"/>
        </w:rPr>
        <w:t xml:space="preserve">4. Zod &amp; React Hook Form: Unified schema validation providing instant client-side feedback and secure server-action verification.</w:t>
      </w:r>
    </w:p>
    <w:p>
      <w:pPr>
        <w:jc w:val="center"/>
        <w:spacing w:line="240" w:lineRule="auto" w:after="80"/>
      </w:pPr>
      <w:r>
        <w:rPr>
          <w:rFonts w:ascii="Times New Roman" w:hAnsi="Times New Roman"/>
          <w:sz w:val="22"/>
          <w:szCs w:val="22"/>
          <w:b/>
          <w:bCs/>
        </w:rPr>
        <w:t xml:space="preserve">30</w:t>
      </w:r>
    </w:p>
    <w:p>
      <w:pPr>
        <w:spacing w:after="0"/>
      </w:pPr>
      <w:r>
        <w:br w:type="page"/>
      </w:r>
    </w:p>
    <w:p>
      <w:pPr>
        <w:jc w:val="both"/>
        <w:spacing w:line="360" w:lineRule="auto" w:after="100"/>
      </w:pPr>
      <w:r>
        <w:rPr>
          <w:rFonts w:ascii="Times New Roman" w:hAnsi="Times New Roman"/>
          <w:sz w:val="26"/>
          <w:szCs w:val="26"/>
          <w:b/>
          <w:bCs/>
        </w:rPr>
        <w:t xml:space="preserve">8.3 Testing, Linting and Build Tools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1. Vitest: High-speed ESM-native test runner validating mathematical boundary cases in under 250 milliseconds.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2. Date-Fns: Lightweight immutable date arithmetic library handling leap years and cycle roll-forwards.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3. Lucide React &amp; CMDK: Modern icon sets and keyboard-first command palette navigation (⌘K).</w:t>
      </w:r>
    </w:p>
    <w:p>
      <w:pPr>
        <w:jc w:val="both"/>
        <w:spacing w:line="360" w:lineRule="auto" w:after="100"/>
        <w:ind w:firstLine="480"/>
      </w:pPr>
      <w:r>
        <w:rPr>
          <w:rFonts w:ascii="Times New Roman" w:hAnsi="Times New Roman"/>
          <w:sz w:val="24"/>
          <w:szCs w:val="24"/>
        </w:rPr>
        <w:t xml:space="preserve">4. Vercel CI/CD: Automated cloud build verification and global edge distribution with automated SSL provisioning.</w:t>
      </w:r>
    </w:p>
    <w:p>
      <w:pPr>
        <w:jc w:val="center"/>
        <w:spacing w:line="360" w:lineRule="auto" w:after="140"/>
      </w:pPr>
      <w:r>
        <w:rPr>
          <w:rFonts w:ascii="Times New Roman" w:hAnsi="Times New Roman"/>
          <w:sz w:val="22"/>
          <w:szCs w:val="22"/>
          <w:b/>
          <w:bCs/>
        </w:rPr>
        <w:t xml:space="preserve">31</w:t>
      </w:r>
    </w:p>
    <w:sectPr>
      <w:pgSz w:w="11906" w:h="16838"/>
      <w:pgMar w:top="1134" w:right="1134" w:bottom="1134" w:left="1134" w:header="708" w:footer="708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40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
  
</Relationships>
</file>

<file path=docProps/core.xml><?xml version="1.0" encoding="utf-8"?>
<cp:coreProperties xmlns:cp="http://schemas.openxmlformats.org/package/2006/metadata/core-properties" xmlns:dc="http://purl.org/dc/elements/1.1/">
  <dc:title>VAULTY Minor Project Report (BCA-508)</dc:title>
  <dc:creator>Lakshya Singh</dc:creator>
</cp:coreProperties>
</file>