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color w:val="000000"/>
          <w:sz w:val="30"/>
        </w:rPr>
        <w:t>VELLORE INSTITUTE OF TECHNOLOGY (VIT) CHENNAI</w:t>
      </w:r>
    </w:p>
    <w:p>
      <w:pPr>
        <w:spacing w:before="0" w:after="600"/>
        <w:jc w:val="center"/>
      </w:pPr>
      <w:r>
        <w:rPr>
          <w:rFonts w:ascii="Times New Roman" w:hAnsi="Times New Roman"/>
          <w:b/>
          <w:color w:val="505050"/>
          <w:sz w:val="24"/>
        </w:rPr>
        <w:t>SCHOOL OF COMPUTER SCIENCE AND ENGINEERING (SCOPE)</w:t>
      </w:r>
    </w:p>
    <w:p>
      <w:pPr>
        <w:spacing w:before="200" w:after="360"/>
        <w:jc w:val="center"/>
      </w:pPr>
      <w:r>
        <w:rPr>
          <w:rFonts w:ascii="Times New Roman" w:hAnsi="Times New Roman"/>
          <w:b/>
          <w:color w:val="1B365D"/>
          <w:sz w:val="36"/>
        </w:rPr>
        <w:t>DARKSHIELD AI: EXPLAINABLE MACHINE LEARNING FOR DETECTING DARK PATTERNS IN E-COMMERCE INTERFACES</w:t>
      </w:r>
    </w:p>
    <w:p>
      <w:pPr>
        <w:spacing w:before="0" w:after="80"/>
        <w:jc w:val="center"/>
      </w:pPr>
      <w:r>
        <w:rPr>
          <w:rFonts w:ascii="Times New Roman" w:hAnsi="Times New Roman"/>
          <w:b w:val="0"/>
          <w:color w:val="3C3C3C"/>
          <w:sz w:val="22"/>
        </w:rPr>
        <w:t>A Comprehensive Course Project Report Submitted in Partial Fulfillment of the Requirements for the Course</w:t>
      </w:r>
    </w:p>
    <w:p>
      <w:pPr>
        <w:spacing w:before="0" w:after="700"/>
        <w:jc w:val="center"/>
      </w:pPr>
      <w:r>
        <w:rPr>
          <w:rFonts w:ascii="Times New Roman" w:hAnsi="Times New Roman"/>
          <w:b/>
          <w:color w:val="000000"/>
          <w:sz w:val="26"/>
        </w:rPr>
        <w:t>MACHINE LEARNING (BCSE209L)</w:t>
      </w:r>
    </w:p>
    <w:p>
      <w:pPr>
        <w:spacing w:before="0" w:after="160"/>
        <w:jc w:val="center"/>
      </w:pPr>
      <w:r>
        <w:rPr>
          <w:rFonts w:ascii="Times New Roman" w:hAnsi="Times New Roman"/>
          <w:b/>
          <w:color w:val="323232"/>
          <w:sz w:val="22"/>
        </w:rPr>
        <w:t>Submitted by:</w:t>
      </w:r>
    </w:p>
    <w:tbl>
      <w:tblPr>
        <w:tblW w:type="auto" w:w="0"/>
        <w:jc w:val="center"/>
        <w:tblLook w:firstColumn="1" w:firstRow="1" w:lastColumn="0" w:lastRow="0" w:noHBand="0" w:noVBand="1" w:val="04A0"/>
        <w:tblBorders>
          <w:top w:val="single" w:sz="6" w:space="0" w:color="CCCCCC"/>
          <w:bottom w:val="single" w:sz="8" w:space="0" w:color="1B365D"/>
          <w:left w:val="none"/>
          <w:right w:val="none"/>
          <w:insideH w:val="single" w:sz="4" w:space="0" w:color="E0E0E0"/>
          <w:insideV w:val="none"/>
        </w:tblBorders>
      </w:tblPr>
      <w:tblGrid>
        <w:gridCol w:w="4500"/>
        <w:gridCol w:w="4500"/>
      </w:tblGrid>
      <w:tr>
        <w:tc>
          <w:tcPr>
            <w:tcW w:type="dxa" w:w="4320"/>
            <w:shd w:fill="1B365D"/>
            <w:tcMar>
              <w:top w:w="80" w:type="dxa"/>
              <w:bottom w:w="80" w:type="dxa"/>
              <w:left w:w="100" w:type="dxa"/>
              <w:right w:w="100" w:type="dxa"/>
            </w:tcMar>
          </w:tcPr>
          <w:p>
            <w:pPr>
              <w:spacing w:before="80" w:after="80"/>
              <w:jc w:val="center"/>
            </w:pPr>
            <w:r>
              <w:rPr>
                <w:rFonts w:ascii="Times New Roman" w:hAnsi="Times New Roman"/>
                <w:b/>
                <w:color w:val="FFFFFF"/>
                <w:sz w:val="22"/>
              </w:rPr>
              <w:t>Student Name</w:t>
            </w:r>
          </w:p>
        </w:tc>
        <w:tc>
          <w:tcPr>
            <w:tcW w:type="dxa" w:w="4320"/>
            <w:shd w:fill="1B365D"/>
            <w:tcMar>
              <w:top w:w="80" w:type="dxa"/>
              <w:bottom w:w="80" w:type="dxa"/>
              <w:left w:w="100" w:type="dxa"/>
              <w:right w:w="100" w:type="dxa"/>
            </w:tcMar>
          </w:tcPr>
          <w:p>
            <w:pPr>
              <w:spacing w:before="80" w:after="80"/>
              <w:jc w:val="center"/>
            </w:pPr>
            <w:r>
              <w:rPr>
                <w:rFonts w:ascii="Times New Roman" w:hAnsi="Times New Roman"/>
                <w:b/>
                <w:color w:val="FFFFFF"/>
                <w:sz w:val="22"/>
              </w:rPr>
              <w:t>Registration Number</w:t>
            </w:r>
          </w:p>
        </w:tc>
      </w:tr>
      <w:tr>
        <w:tc>
          <w:tcPr>
            <w:tcW w:type="dxa" w:w="4320"/>
            <w:shd w:fill="F9FAFC"/>
            <w:tcMar>
              <w:top w:w="80" w:type="dxa"/>
              <w:bottom w:w="80" w:type="dxa"/>
              <w:left w:w="100" w:type="dxa"/>
              <w:right w:w="100" w:type="dxa"/>
            </w:tcMar>
          </w:tcPr>
          <w:p>
            <w:pPr>
              <w:spacing w:before="80" w:after="80"/>
              <w:jc w:val="center"/>
            </w:pPr>
            <w:r>
              <w:rPr>
                <w:rFonts w:ascii="Times New Roman" w:hAnsi="Times New Roman"/>
                <w:sz w:val="22"/>
              </w:rPr>
              <w:t>Rayavarapu Rohan Krishna</w:t>
            </w:r>
          </w:p>
        </w:tc>
        <w:tc>
          <w:tcPr>
            <w:tcW w:type="dxa" w:w="4320"/>
            <w:shd w:fill="F9FAFC"/>
            <w:tcMar>
              <w:top w:w="80" w:type="dxa"/>
              <w:bottom w:w="80" w:type="dxa"/>
              <w:left w:w="100" w:type="dxa"/>
              <w:right w:w="100" w:type="dxa"/>
            </w:tcMar>
          </w:tcPr>
          <w:p>
            <w:pPr>
              <w:spacing w:before="80" w:after="80"/>
              <w:jc w:val="center"/>
            </w:pPr>
            <w:r>
              <w:rPr>
                <w:rFonts w:ascii="Times New Roman" w:hAnsi="Times New Roman"/>
                <w:sz w:val="22"/>
              </w:rPr>
              <w:t>23BAI1102</w:t>
            </w:r>
          </w:p>
        </w:tc>
      </w:tr>
      <w:tr>
        <w:tc>
          <w:tcPr>
            <w:tcW w:type="dxa" w:w="4320"/>
            <w:tcMar>
              <w:top w:w="80" w:type="dxa"/>
              <w:bottom w:w="80" w:type="dxa"/>
              <w:left w:w="100" w:type="dxa"/>
              <w:right w:w="100" w:type="dxa"/>
            </w:tcMar>
          </w:tcPr>
          <w:p>
            <w:pPr>
              <w:spacing w:before="80" w:after="80"/>
              <w:jc w:val="center"/>
            </w:pPr>
            <w:r>
              <w:rPr>
                <w:rFonts w:ascii="Times New Roman" w:hAnsi="Times New Roman"/>
                <w:sz w:val="22"/>
              </w:rPr>
              <w:t>Satvik Jindal</w:t>
            </w:r>
          </w:p>
        </w:tc>
        <w:tc>
          <w:tcPr>
            <w:tcW w:type="dxa" w:w="4320"/>
            <w:tcMar>
              <w:top w:w="80" w:type="dxa"/>
              <w:bottom w:w="80" w:type="dxa"/>
              <w:left w:w="100" w:type="dxa"/>
              <w:right w:w="100" w:type="dxa"/>
            </w:tcMar>
          </w:tcPr>
          <w:p>
            <w:pPr>
              <w:spacing w:before="80" w:after="80"/>
              <w:jc w:val="center"/>
            </w:pPr>
            <w:r>
              <w:rPr>
                <w:rFonts w:ascii="Times New Roman" w:hAnsi="Times New Roman"/>
                <w:sz w:val="22"/>
              </w:rPr>
              <w:t>23BPS1123</w:t>
            </w:r>
          </w:p>
        </w:tc>
      </w:tr>
      <w:tr>
        <w:tc>
          <w:tcPr>
            <w:tcW w:type="dxa" w:w="4320"/>
            <w:shd w:fill="F9FAFC"/>
            <w:tcMar>
              <w:top w:w="80" w:type="dxa"/>
              <w:bottom w:w="80" w:type="dxa"/>
              <w:left w:w="100" w:type="dxa"/>
              <w:right w:w="100" w:type="dxa"/>
            </w:tcMar>
          </w:tcPr>
          <w:p>
            <w:pPr>
              <w:spacing w:before="80" w:after="80"/>
              <w:jc w:val="center"/>
            </w:pPr>
            <w:r>
              <w:rPr>
                <w:rFonts w:ascii="Times New Roman" w:hAnsi="Times New Roman"/>
                <w:sz w:val="22"/>
              </w:rPr>
              <w:t>Lakshya Jain</w:t>
            </w:r>
          </w:p>
        </w:tc>
        <w:tc>
          <w:tcPr>
            <w:tcW w:type="dxa" w:w="4320"/>
            <w:shd w:fill="F9FAFC"/>
            <w:tcMar>
              <w:top w:w="80" w:type="dxa"/>
              <w:bottom w:w="80" w:type="dxa"/>
              <w:left w:w="100" w:type="dxa"/>
              <w:right w:w="100" w:type="dxa"/>
            </w:tcMar>
          </w:tcPr>
          <w:p>
            <w:pPr>
              <w:spacing w:before="80" w:after="80"/>
              <w:jc w:val="center"/>
            </w:pPr>
            <w:r>
              <w:rPr>
                <w:rFonts w:ascii="Times New Roman" w:hAnsi="Times New Roman"/>
                <w:sz w:val="22"/>
              </w:rPr>
              <w:t>23BPS1059</w:t>
            </w:r>
          </w:p>
        </w:tc>
      </w:tr>
    </w:tbl>
    <w:p>
      <w:pPr>
        <w:spacing w:after="500"/>
      </w:pPr>
    </w:p>
    <w:p>
      <w:pPr>
        <w:spacing w:before="0" w:after="80"/>
        <w:jc w:val="center"/>
      </w:pPr>
      <w:r>
        <w:rPr>
          <w:rFonts w:ascii="Times New Roman" w:hAnsi="Times New Roman"/>
          <w:b/>
          <w:color w:val="323232"/>
          <w:sz w:val="22"/>
        </w:rPr>
        <w:t>Under the Guidance of:</w:t>
      </w:r>
    </w:p>
    <w:p>
      <w:pPr>
        <w:spacing w:before="0" w:after="40"/>
        <w:jc w:val="center"/>
      </w:pPr>
      <w:r>
        <w:rPr>
          <w:rFonts w:ascii="Times New Roman" w:hAnsi="Times New Roman"/>
          <w:b/>
          <w:color w:val="1B365D"/>
          <w:sz w:val="26"/>
        </w:rPr>
        <w:t>Dr. Sridevi S</w:t>
      </w:r>
    </w:p>
    <w:p>
      <w:pPr>
        <w:spacing w:before="0" w:after="40"/>
        <w:jc w:val="center"/>
      </w:pPr>
      <w:r>
        <w:rPr>
          <w:rFonts w:ascii="Times New Roman" w:hAnsi="Times New Roman"/>
          <w:b w:val="0"/>
          <w:color w:val="3C3C3C"/>
          <w:sz w:val="22"/>
        </w:rPr>
        <w:t>Associate Professor / Faculty Member, Department of SCOPE</w:t>
      </w:r>
    </w:p>
    <w:p>
      <w:pPr>
        <w:spacing w:before="0" w:after="400"/>
        <w:jc w:val="center"/>
      </w:pPr>
      <w:r>
        <w:rPr>
          <w:rFonts w:ascii="Times New Roman" w:hAnsi="Times New Roman"/>
          <w:b w:val="0"/>
          <w:color w:val="3C3C3C"/>
          <w:sz w:val="22"/>
        </w:rPr>
        <w:t>Vellore Institute of Technology, Chennai - 600127</w:t>
      </w:r>
    </w:p>
    <w:p>
      <w:pPr>
        <w:spacing w:before="200" w:after="0"/>
        <w:jc w:val="center"/>
      </w:pPr>
      <w:r>
        <w:rPr>
          <w:rFonts w:ascii="Times New Roman" w:hAnsi="Times New Roman"/>
          <w:b/>
          <w:color w:val="000000"/>
          <w:sz w:val="22"/>
        </w:rPr>
        <w:t>Academic Year: 2025 – 2026</w:t>
      </w:r>
    </w:p>
    <w:p>
      <w:r>
        <w:br w:type="page"/>
      </w:r>
    </w:p>
    <w:p>
      <w:pPr>
        <w:spacing w:before="200" w:after="360"/>
        <w:jc w:val="center"/>
      </w:pPr>
      <w:r>
        <w:rPr>
          <w:rFonts w:ascii="Times New Roman" w:hAnsi="Times New Roman"/>
          <w:b/>
          <w:color w:val="1B365D"/>
          <w:sz w:val="32"/>
        </w:rPr>
        <w:t>BONAFIDE CERTIFICATE</w:t>
      </w:r>
    </w:p>
    <w:p>
      <w:pPr>
        <w:spacing w:line="300" w:lineRule="auto" w:after="120"/>
        <w:jc w:val="both"/>
      </w:pPr>
      <w:r>
        <w:rPr>
          <w:rFonts w:ascii="Times New Roman" w:hAnsi="Times New Roman"/>
          <w:color w:val="1E1E1E"/>
          <w:sz w:val="24"/>
        </w:rPr>
        <w:t>Certified that this project report titled "DARKSHIELD AI: EXPLAINABLE MACHINE LEARNING FOR DETECTING DARK PATTERNS IN E-COMMERCE INTERFACES" is the bonafide work of Rayavarapu Rohan Krishna (Reg. No. 23BAI1102), Satvik Jindal (Reg. No. 23BPS1123), and Lakshya Jain (Reg. No. 23BPS1059), who carried out the project work under my supervision in partial fulfillment of the requirements for the course Machine Learning (BCSE209L) at the School of Computer Science and Engineering (SCOPE), Vellore Institute of Technology (VIT), Chennai.</w:t>
      </w:r>
    </w:p>
    <w:p>
      <w:pPr>
        <w:spacing w:after="1000"/>
      </w:pPr>
    </w:p>
    <w:tbl>
      <w:tblPr>
        <w:tblW w:type="auto" w:w="0"/>
        <w:jc w:val="center"/>
        <w:tblLook w:firstColumn="1" w:firstRow="1" w:lastColumn="0" w:lastRow="0" w:noHBand="0" w:noVBand="1" w:val="04A0"/>
      </w:tblPr>
      <w:tblGrid>
        <w:gridCol w:w="4500"/>
        <w:gridCol w:w="4500"/>
      </w:tblGrid>
      <w:tr>
        <w:tc>
          <w:tcPr>
            <w:tcW w:type="dxa" w:w="4500"/>
          </w:tcPr>
          <w:p>
            <w:pPr>
              <w:jc w:val="left"/>
            </w:pPr>
            <w:r>
              <w:rPr>
                <w:rFonts w:ascii="Times New Roman" w:hAnsi="Times New Roman"/>
                <w:sz w:val="22"/>
              </w:rPr>
              <w:t>______________________________</w:t>
              <w:br/>
            </w:r>
            <w:r>
              <w:rPr>
                <w:rFonts w:ascii="Times New Roman" w:hAnsi="Times New Roman"/>
                <w:b/>
                <w:sz w:val="22"/>
              </w:rPr>
              <w:t>Dr. Sridevi S</w:t>
              <w:br/>
            </w:r>
            <w:r>
              <w:rPr>
                <w:rFonts w:ascii="Times New Roman" w:hAnsi="Times New Roman"/>
                <w:sz w:val="22"/>
              </w:rPr>
              <w:t>Faculty Guide &amp; Project Supervisor</w:t>
              <w:br/>
              <w:t>Department of SCOPE</w:t>
              <w:br/>
              <w:t>VIT Chennai</w:t>
            </w:r>
          </w:p>
        </w:tc>
        <w:tc>
          <w:tcPr>
            <w:tcW w:type="dxa" w:w="4500"/>
          </w:tcPr>
          <w:p>
            <w:pPr>
              <w:jc w:val="right"/>
            </w:pPr>
            <w:r>
              <w:rPr>
                <w:rFonts w:ascii="Times New Roman" w:hAnsi="Times New Roman"/>
                <w:sz w:val="22"/>
              </w:rPr>
              <w:t>______________________________</w:t>
              <w:br/>
            </w:r>
            <w:r>
              <w:rPr>
                <w:rFonts w:ascii="Times New Roman" w:hAnsi="Times New Roman"/>
                <w:b/>
                <w:sz w:val="22"/>
              </w:rPr>
              <w:t>Head of the Department / Dean</w:t>
              <w:br/>
            </w:r>
            <w:r>
              <w:rPr>
                <w:rFonts w:ascii="Times New Roman" w:hAnsi="Times New Roman"/>
                <w:sz w:val="22"/>
              </w:rPr>
              <w:t>School of Computer Science &amp; Engg.</w:t>
              <w:br/>
              <w:t>VIT Chennai</w:t>
            </w:r>
          </w:p>
        </w:tc>
      </w:tr>
      <w:tr>
        <w:tc>
          <w:tcPr>
            <w:tcW w:type="dxa" w:w="4500"/>
          </w:tcPr>
          <w:p/>
        </w:tc>
        <w:tc>
          <w:tcPr>
            <w:tcW w:type="dxa" w:w="4500"/>
          </w:tcPr>
          <w:p/>
        </w:tc>
      </w:tr>
    </w:tbl>
    <w:p>
      <w:r>
        <w:br w:type="page"/>
      </w:r>
    </w:p>
    <w:p>
      <w:pPr>
        <w:spacing w:before="200" w:after="360"/>
        <w:jc w:val="center"/>
      </w:pPr>
      <w:r>
        <w:rPr>
          <w:rFonts w:ascii="Times New Roman" w:hAnsi="Times New Roman"/>
          <w:b/>
          <w:color w:val="1B365D"/>
          <w:sz w:val="32"/>
        </w:rPr>
        <w:t>DECLARATION</w:t>
      </w:r>
    </w:p>
    <w:p>
      <w:pPr>
        <w:spacing w:line="300" w:lineRule="auto" w:after="120"/>
        <w:jc w:val="both"/>
      </w:pPr>
      <w:r>
        <w:rPr>
          <w:rFonts w:ascii="Times New Roman" w:hAnsi="Times New Roman"/>
          <w:color w:val="1E1E1E"/>
          <w:sz w:val="24"/>
        </w:rPr>
        <w:t>We hereby declare that the project work presented in this report entitled "DARKSHIELD AI: EXPLAINABLE MACHINE LEARNING FOR DETECTING DARK PATTERNS IN E-COMMERCE INTERFACES" submitted to the School of Computer Science and Engineering (SCOPE), Vellore Institute of Technology, Chennai, is an authentic record of our own research and engineering work carried out under the supervision of Dr. Sridevi S.</w:t>
      </w:r>
    </w:p>
    <w:p>
      <w:pPr>
        <w:spacing w:line="300" w:lineRule="auto" w:after="120"/>
        <w:jc w:val="both"/>
      </w:pPr>
      <w:r>
        <w:rPr>
          <w:rFonts w:ascii="Times New Roman" w:hAnsi="Times New Roman"/>
          <w:color w:val="1E1E1E"/>
          <w:sz w:val="24"/>
        </w:rPr>
        <w:t>We also declare that this work has not been previously submitted in part or full for the award of any other degree, diploma, or certificate in this or any other academic institution. All sources, research datasets, and literature cited have been duly referenced in accordance with standard academic ethics.</w:t>
      </w:r>
    </w:p>
    <w:p>
      <w:pPr>
        <w:spacing w:after="800"/>
      </w:pPr>
    </w:p>
    <w:tbl>
      <w:tblPr>
        <w:tblW w:type="auto" w:w="0"/>
        <w:jc w:val="center"/>
        <w:tblLook w:firstColumn="1" w:firstRow="1" w:lastColumn="0" w:lastRow="0" w:noHBand="0" w:noVBand="1" w:val="04A0"/>
      </w:tblPr>
      <w:tblGrid>
        <w:gridCol w:w="4500"/>
        <w:gridCol w:w="4500"/>
      </w:tblGrid>
      <w:tr>
        <w:tc>
          <w:tcPr>
            <w:tcW w:type="dxa" w:w="4500"/>
          </w:tcPr>
          <w:p>
            <w:pPr>
              <w:spacing w:before="160" w:after="160"/>
            </w:pPr>
            <w:r>
              <w:rPr>
                <w:rFonts w:ascii="Times New Roman" w:hAnsi="Times New Roman"/>
                <w:b/>
                <w:sz w:val="22"/>
              </w:rPr>
              <w:t>Rayavarapu Rohan Krishna (23BAI1102)</w:t>
            </w:r>
          </w:p>
        </w:tc>
        <w:tc>
          <w:tcPr>
            <w:tcW w:type="dxa" w:w="4500"/>
          </w:tcPr>
          <w:p>
            <w:pPr>
              <w:spacing w:before="160" w:after="160"/>
            </w:pPr>
            <w:r>
              <w:rPr>
                <w:rFonts w:ascii="Times New Roman" w:hAnsi="Times New Roman"/>
                <w:sz w:val="22"/>
              </w:rPr>
              <w:t>Signature: ______________________</w:t>
            </w:r>
          </w:p>
        </w:tc>
      </w:tr>
      <w:tr>
        <w:tc>
          <w:tcPr>
            <w:tcW w:type="dxa" w:w="4500"/>
          </w:tcPr>
          <w:p>
            <w:pPr>
              <w:spacing w:before="160" w:after="160"/>
            </w:pPr>
            <w:r>
              <w:rPr>
                <w:rFonts w:ascii="Times New Roman" w:hAnsi="Times New Roman"/>
                <w:b/>
                <w:sz w:val="22"/>
              </w:rPr>
              <w:t>Satvik Jindal (23BPS1123)</w:t>
            </w:r>
          </w:p>
        </w:tc>
        <w:tc>
          <w:tcPr>
            <w:tcW w:type="dxa" w:w="4500"/>
          </w:tcPr>
          <w:p>
            <w:pPr>
              <w:spacing w:before="160" w:after="160"/>
            </w:pPr>
            <w:r>
              <w:rPr>
                <w:rFonts w:ascii="Times New Roman" w:hAnsi="Times New Roman"/>
                <w:sz w:val="22"/>
              </w:rPr>
              <w:t>Signature: ______________________</w:t>
            </w:r>
          </w:p>
        </w:tc>
      </w:tr>
      <w:tr>
        <w:tc>
          <w:tcPr>
            <w:tcW w:type="dxa" w:w="4500"/>
          </w:tcPr>
          <w:p>
            <w:pPr>
              <w:spacing w:before="160" w:after="160"/>
            </w:pPr>
            <w:r>
              <w:rPr>
                <w:rFonts w:ascii="Times New Roman" w:hAnsi="Times New Roman"/>
                <w:b/>
                <w:sz w:val="22"/>
              </w:rPr>
              <w:t>Lakshya Jain (23BPS1059)</w:t>
            </w:r>
          </w:p>
        </w:tc>
        <w:tc>
          <w:tcPr>
            <w:tcW w:type="dxa" w:w="4500"/>
          </w:tcPr>
          <w:p>
            <w:pPr>
              <w:spacing w:before="160" w:after="160"/>
            </w:pPr>
            <w:r>
              <w:rPr>
                <w:rFonts w:ascii="Times New Roman" w:hAnsi="Times New Roman"/>
                <w:sz w:val="22"/>
              </w:rPr>
              <w:t>Signature: ______________________</w:t>
            </w:r>
          </w:p>
        </w:tc>
      </w:tr>
    </w:tbl>
    <w:p>
      <w:pPr>
        <w:spacing w:after="600"/>
      </w:pPr>
    </w:p>
    <w:p>
      <w:pPr>
        <w:spacing w:line="300" w:lineRule="auto" w:after="120"/>
        <w:jc w:val="both"/>
      </w:pPr>
      <w:r>
        <w:rPr>
          <w:rFonts w:ascii="Times New Roman" w:hAnsi="Times New Roman"/>
          <w:color w:val="1E1E1E"/>
          <w:sz w:val="24"/>
        </w:rPr>
        <w:t>Place: VIT Chennai, Vandalur-Kelambakkam Road, Chennai - 600127</w:t>
        <w:br/>
        <w:t>Date: October 2026</w:t>
      </w:r>
    </w:p>
    <w:p>
      <w:r>
        <w:br w:type="page"/>
      </w:r>
    </w:p>
    <w:p>
      <w:pPr>
        <w:spacing w:before="200" w:after="360"/>
        <w:jc w:val="center"/>
      </w:pPr>
      <w:r>
        <w:rPr>
          <w:rFonts w:ascii="Times New Roman" w:hAnsi="Times New Roman"/>
          <w:b/>
          <w:color w:val="1B365D"/>
          <w:sz w:val="32"/>
        </w:rPr>
        <w:t>ACKNOWLEDGMENTS</w:t>
      </w:r>
    </w:p>
    <w:p>
      <w:pPr>
        <w:spacing w:line="300" w:lineRule="auto" w:after="120"/>
        <w:jc w:val="both"/>
      </w:pPr>
      <w:r>
        <w:rPr>
          <w:rFonts w:ascii="Times New Roman" w:hAnsi="Times New Roman"/>
          <w:color w:val="1E1E1E"/>
          <w:sz w:val="24"/>
        </w:rPr>
        <w:t>We express our deepest sense of gratitude and sincere thanks to our respected Faculty Guide, Dr. Sridevi S, School of Computer Science and Engineering (SCOPE), Vellore Institute of Technology, Chennai, for her continuous encouragement, invaluable technical guidance, constructive critiques, and relentless motivation throughout the lifecycle of this project.</w:t>
      </w:r>
    </w:p>
    <w:p>
      <w:pPr>
        <w:spacing w:line="300" w:lineRule="auto" w:after="120"/>
        <w:jc w:val="both"/>
      </w:pPr>
      <w:r>
        <w:rPr>
          <w:rFonts w:ascii="Times New Roman" w:hAnsi="Times New Roman"/>
          <w:color w:val="1E1E1E"/>
          <w:sz w:val="24"/>
        </w:rPr>
        <w:t>We would also like to extend our profound thanks to the Dean, School of Computer Science and Engineering (SCOPE), and the faculty members of the Department for providing the required computational infrastructure, modern laboratory facilities, and supportive academic environment necessary to pursue cutting-edge machine learning and MLOps research.</w:t>
      </w:r>
    </w:p>
    <w:p>
      <w:pPr>
        <w:spacing w:line="300" w:lineRule="auto" w:after="120"/>
        <w:jc w:val="both"/>
      </w:pPr>
      <w:r>
        <w:rPr>
          <w:rFonts w:ascii="Times New Roman" w:hAnsi="Times New Roman"/>
          <w:color w:val="1E1E1E"/>
          <w:sz w:val="24"/>
        </w:rPr>
        <w:t>Lastly, we thank our parents, peers, and fellow researchers whose direct and indirect support helped us overcome technical hurdles during model training, anti-bot scraping implementation, and web platform development.</w:t>
      </w:r>
    </w:p>
    <w:p>
      <w:r>
        <w:br w:type="page"/>
      </w:r>
    </w:p>
    <w:p>
      <w:pPr>
        <w:spacing w:before="200" w:after="360"/>
        <w:jc w:val="center"/>
      </w:pPr>
      <w:r>
        <w:rPr>
          <w:rFonts w:ascii="Times New Roman" w:hAnsi="Times New Roman"/>
          <w:b/>
          <w:color w:val="1B365D"/>
          <w:sz w:val="32"/>
        </w:rPr>
        <w:t>ABSTRACT</w:t>
      </w:r>
    </w:p>
    <w:p>
      <w:pPr>
        <w:spacing w:line="300" w:lineRule="auto" w:after="120"/>
        <w:jc w:val="both"/>
      </w:pPr>
      <w:r>
        <w:rPr>
          <w:rFonts w:ascii="Times New Roman" w:hAnsi="Times New Roman"/>
          <w:color w:val="1E1E1E"/>
          <w:sz w:val="24"/>
        </w:rPr>
        <w:t>E-commerce platforms increasingly exploit cognitive biases through manipulative user interface designs known as 'Dark Patterns'. These deceptive UX patterns—encompassing artificial urgency, manufactured scarcity, disguised advertisements, pre-selected add-ons, and obstructive cancellation loops—undermine consumer autonomy, lead to involuntary financial commitments, and violate emerging consumer protection statutes globally (e.g., the US FTC Guidelines, EU Digital Services Act, and ASCI Guidelines in India). Traditional defense mechanisms, such as static heuristic pattern matchers and regex-based browser extensions, suffer from brittle rule sets and excessive false alarm rates when encountering modern, dynamically hydrated web applications.</w:t>
      </w:r>
    </w:p>
    <w:p>
      <w:pPr>
        <w:spacing w:line="300" w:lineRule="auto" w:after="120"/>
        <w:jc w:val="both"/>
      </w:pPr>
      <w:r>
        <w:rPr>
          <w:rFonts w:ascii="Times New Roman" w:hAnsi="Times New Roman"/>
          <w:color w:val="1E1E1E"/>
          <w:sz w:val="24"/>
        </w:rPr>
        <w:t>This project presents DarkShield AI, an enterprise-grade, end-to-end Machine Learning Operations (MLOps) and web intelligence platform designed to autonomously detect, classify, and explain dark patterns in e-commerce interfaces. Trained on the curated ec-darkpattern corpus, we implement a rigorous comparative methodology evaluating four distinct machine learning paradigms: Classical Linear Models (Logistic Regression), Hyperplane Classifiers (Support Vector Machines), and Recurrent Deep Learning Architectures (Long Short-Term Memory [LSTM] and Gated Recurrent Units [GRU]). Models are evaluated using 5-fold stratified cross-validation, hyperparameter grid search, and comprehensive classification metrics.</w:t>
      </w:r>
    </w:p>
    <w:p>
      <w:pPr>
        <w:spacing w:line="300" w:lineRule="auto" w:after="120"/>
        <w:jc w:val="both"/>
      </w:pPr>
      <w:r>
        <w:rPr>
          <w:rFonts w:ascii="Times New Roman" w:hAnsi="Times New Roman"/>
          <w:color w:val="1E1E1E"/>
          <w:sz w:val="24"/>
        </w:rPr>
        <w:t>Our empirical results demonstrate outstanding classification performance: Gated Recurrent Units (GRU) achieved the highest overall accuracy of 94.92% (F1-Score: 94.87%, Precision: 95.69%, Recall: 94.07%), while Linear SVM demonstrated the highest precision of 96.40% (ROC-AUC: 0.9709). To overcome the 'black-box' nature of deep neural networks, we integrate Explainable AI (XAI) using game-theoretic Shapley Additive Explanations (SHAP) across both LinearExplainer and DeepExplainer frameworks, providing transparent token-level attribution weights.</w:t>
      </w:r>
    </w:p>
    <w:p>
      <w:pPr>
        <w:spacing w:line="300" w:lineRule="auto" w:after="120"/>
        <w:jc w:val="both"/>
      </w:pPr>
      <w:r>
        <w:rPr>
          <w:rFonts w:ascii="Times New Roman" w:hAnsi="Times New Roman"/>
          <w:color w:val="1E1E1E"/>
          <w:sz w:val="24"/>
        </w:rPr>
        <w:t>Crucially, we address the critical flaw of whole-page text concatenation—which historically caused massive false positive rates due to linear TF-IDF weight accumulation—by introducing a dual-stage Calibrated Granular Element-Level Auditing Engine combined with a stealth Playwright Chromium scraper capable of bypassing automated anti-bot and CAPTCHA interception. The resulting system is delivered via an interactive Sentinel Amber React/Vite dashboard, a production FastAPI asynchronous serving gateway, and a Manifest V3 Chrome Extension, bridging empirical machine learning research with real-world consumer protection.</w:t>
      </w:r>
    </w:p>
    <w:p>
      <w:pPr>
        <w:spacing w:after="240"/>
      </w:pPr>
    </w:p>
    <w:p>
      <w:pPr>
        <w:spacing w:line="300" w:lineRule="auto" w:after="120"/>
        <w:jc w:val="both"/>
      </w:pPr>
      <w:r>
        <w:rPr>
          <w:rFonts w:ascii="Times New Roman" w:hAnsi="Times New Roman"/>
          <w:b/>
          <w:color w:val="141414"/>
          <w:sz w:val="24"/>
        </w:rPr>
        <w:t xml:space="preserve">Keywords: </w:t>
      </w:r>
      <w:r>
        <w:rPr>
          <w:rFonts w:ascii="Times New Roman" w:hAnsi="Times New Roman"/>
          <w:color w:val="1E1E1E"/>
          <w:sz w:val="24"/>
        </w:rPr>
        <w:t>Dark Patterns, Deceptive UI/UX, Machine Learning, Deep Learning, LSTM, GRU, Support Vector Machines, Explainable AI (XAI), SHAP, MLOps, Web Scraping, Playwright, Consumer Protection.</w:t>
      </w:r>
    </w:p>
    <w:p>
      <w:r>
        <w:br w:type="page"/>
      </w:r>
    </w:p>
    <w:p>
      <w:pPr>
        <w:spacing w:before="200" w:after="360"/>
        <w:jc w:val="center"/>
      </w:pPr>
      <w:r>
        <w:rPr>
          <w:rFonts w:ascii="Times New Roman" w:hAnsi="Times New Roman"/>
          <w:b/>
          <w:color w:val="1B365D"/>
          <w:sz w:val="32"/>
        </w:rPr>
        <w:t>TABLE OF CONTENTS</w:t>
      </w:r>
    </w:p>
    <w:tbl>
      <w:tblPr>
        <w:tblW w:type="auto" w:w="0"/>
        <w:jc w:val="center"/>
        <w:tblLook w:firstColumn="1" w:firstRow="1" w:lastColumn="0" w:lastRow="0" w:noHBand="0" w:noVBand="1" w:val="04A0"/>
        <w:tblBorders>
          <w:top w:val="single" w:sz="6" w:space="0" w:color="CCCCCC"/>
          <w:bottom w:val="single" w:sz="8" w:space="0" w:color="1B365D"/>
          <w:left w:val="none"/>
          <w:right w:val="none"/>
          <w:insideH w:val="single" w:sz="4" w:space="0" w:color="E0E0E0"/>
          <w:insideV w:val="none"/>
        </w:tblBorders>
      </w:tblPr>
      <w:tblGrid>
        <w:gridCol w:w="4500"/>
        <w:gridCol w:w="4500"/>
      </w:tblGrid>
      <w:tr>
        <w:tc>
          <w:tcPr>
            <w:tcW w:type="dxa" w:w="7920"/>
            <w:tcMar>
              <w:top w:w="40" w:type="dxa"/>
              <w:bottom w:w="40" w:type="dxa"/>
              <w:left w:w="60" w:type="dxa"/>
              <w:right w:w="60" w:type="dxa"/>
            </w:tcMar>
          </w:tcPr>
          <w:p>
            <w:pPr>
              <w:spacing w:before="40" w:after="40"/>
            </w:pPr>
            <w:r>
              <w:rPr>
                <w:rFonts w:ascii="Times New Roman" w:hAnsi="Times New Roman"/>
                <w:b/>
                <w:sz w:val="21"/>
              </w:rPr>
              <w:t>Bonafide Certificate</w:t>
            </w:r>
          </w:p>
        </w:tc>
        <w:tc>
          <w:tcPr>
            <w:tcW w:type="dxa" w:w="1152"/>
            <w:tcMar>
              <w:top w:w="40" w:type="dxa"/>
              <w:bottom w:w="40" w:type="dxa"/>
              <w:left w:w="60" w:type="dxa"/>
              <w:right w:w="60" w:type="dxa"/>
            </w:tcMar>
          </w:tcPr>
          <w:p>
            <w:pPr>
              <w:spacing w:before="40" w:after="40"/>
              <w:jc w:val="right"/>
            </w:pPr>
            <w:r>
              <w:rPr>
                <w:rFonts w:ascii="Times New Roman" w:hAnsi="Times New Roman"/>
                <w:sz w:val="21"/>
              </w:rPr>
              <w:t>ii</w:t>
            </w:r>
          </w:p>
        </w:tc>
      </w:tr>
      <w:tr>
        <w:tc>
          <w:tcPr>
            <w:tcW w:type="dxa" w:w="7920"/>
            <w:tcMar>
              <w:top w:w="40" w:type="dxa"/>
              <w:bottom w:w="40" w:type="dxa"/>
              <w:left w:w="60" w:type="dxa"/>
              <w:right w:w="60" w:type="dxa"/>
            </w:tcMar>
          </w:tcPr>
          <w:p>
            <w:pPr>
              <w:spacing w:before="40" w:after="40"/>
            </w:pPr>
            <w:r>
              <w:rPr>
                <w:rFonts w:ascii="Times New Roman" w:hAnsi="Times New Roman"/>
                <w:sz w:val="21"/>
              </w:rPr>
              <w:t>Declaration</w:t>
            </w:r>
          </w:p>
        </w:tc>
        <w:tc>
          <w:tcPr>
            <w:tcW w:type="dxa" w:w="1152"/>
            <w:tcMar>
              <w:top w:w="40" w:type="dxa"/>
              <w:bottom w:w="40" w:type="dxa"/>
              <w:left w:w="60" w:type="dxa"/>
              <w:right w:w="60" w:type="dxa"/>
            </w:tcMar>
          </w:tcPr>
          <w:p>
            <w:pPr>
              <w:spacing w:before="40" w:after="40"/>
              <w:jc w:val="right"/>
            </w:pPr>
            <w:r>
              <w:rPr>
                <w:rFonts w:ascii="Times New Roman" w:hAnsi="Times New Roman"/>
                <w:sz w:val="21"/>
              </w:rPr>
              <w:t>iii</w:t>
            </w:r>
          </w:p>
        </w:tc>
      </w:tr>
      <w:tr>
        <w:tc>
          <w:tcPr>
            <w:tcW w:type="dxa" w:w="7920"/>
            <w:tcMar>
              <w:top w:w="40" w:type="dxa"/>
              <w:bottom w:w="40" w:type="dxa"/>
              <w:left w:w="60" w:type="dxa"/>
              <w:right w:w="60" w:type="dxa"/>
            </w:tcMar>
          </w:tcPr>
          <w:p>
            <w:pPr>
              <w:spacing w:before="40" w:after="40"/>
            </w:pPr>
            <w:r>
              <w:rPr>
                <w:rFonts w:ascii="Times New Roman" w:hAnsi="Times New Roman"/>
                <w:sz w:val="21"/>
              </w:rPr>
              <w:t>Acknowledgments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iv</w:t>
            </w:r>
          </w:p>
        </w:tc>
      </w:tr>
      <w:tr>
        <w:tc>
          <w:tcPr>
            <w:tcW w:type="dxa" w:w="7920"/>
            <w:tcMar>
              <w:top w:w="40" w:type="dxa"/>
              <w:bottom w:w="40" w:type="dxa"/>
              <w:left w:w="60" w:type="dxa"/>
              <w:right w:w="60" w:type="dxa"/>
            </w:tcMar>
          </w:tcPr>
          <w:p>
            <w:pPr>
              <w:spacing w:before="40" w:after="40"/>
            </w:pPr>
            <w:r>
              <w:rPr>
                <w:rFonts w:ascii="Times New Roman" w:hAnsi="Times New Roman"/>
                <w:b/>
                <w:sz w:val="21"/>
              </w:rPr>
              <w:t>Abstract</w:t>
            </w:r>
          </w:p>
        </w:tc>
        <w:tc>
          <w:tcPr>
            <w:tcW w:type="dxa" w:w="1152"/>
            <w:tcMar>
              <w:top w:w="40" w:type="dxa"/>
              <w:bottom w:w="40" w:type="dxa"/>
              <w:left w:w="60" w:type="dxa"/>
              <w:right w:w="60" w:type="dxa"/>
            </w:tcMar>
          </w:tcPr>
          <w:p>
            <w:pPr>
              <w:spacing w:before="40" w:after="40"/>
              <w:jc w:val="right"/>
            </w:pPr>
            <w:r>
              <w:rPr>
                <w:rFonts w:ascii="Times New Roman" w:hAnsi="Times New Roman"/>
                <w:sz w:val="21"/>
              </w:rPr>
              <w:t>v</w:t>
            </w:r>
          </w:p>
        </w:tc>
      </w:tr>
      <w:tr>
        <w:tc>
          <w:tcPr>
            <w:tcW w:type="dxa" w:w="7920"/>
            <w:tcMar>
              <w:top w:w="40" w:type="dxa"/>
              <w:bottom w:w="40" w:type="dxa"/>
              <w:left w:w="60" w:type="dxa"/>
              <w:right w:w="60" w:type="dxa"/>
            </w:tcMar>
          </w:tcPr>
          <w:p>
            <w:pPr>
              <w:spacing w:before="40" w:after="40"/>
            </w:pPr>
            <w:r>
              <w:rPr>
                <w:rFonts w:ascii="Times New Roman" w:hAnsi="Times New Roman"/>
                <w:sz w:val="21"/>
              </w:rPr>
              <w:t>List of Figures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viii</w:t>
            </w:r>
          </w:p>
        </w:tc>
      </w:tr>
      <w:tr>
        <w:tc>
          <w:tcPr>
            <w:tcW w:type="dxa" w:w="7920"/>
            <w:tcMar>
              <w:top w:w="40" w:type="dxa"/>
              <w:bottom w:w="40" w:type="dxa"/>
              <w:left w:w="60" w:type="dxa"/>
              <w:right w:w="60" w:type="dxa"/>
            </w:tcMar>
          </w:tcPr>
          <w:p>
            <w:pPr>
              <w:spacing w:before="40" w:after="40"/>
            </w:pPr>
            <w:r>
              <w:rPr>
                <w:rFonts w:ascii="Times New Roman" w:hAnsi="Times New Roman"/>
                <w:sz w:val="21"/>
              </w:rPr>
              <w:t>List of Tables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ix</w:t>
            </w:r>
          </w:p>
        </w:tc>
      </w:tr>
      <w:tr>
        <w:tc>
          <w:tcPr>
            <w:tcW w:type="dxa" w:w="7920"/>
            <w:tcMar>
              <w:top w:w="40" w:type="dxa"/>
              <w:bottom w:w="40" w:type="dxa"/>
              <w:left w:w="60" w:type="dxa"/>
              <w:right w:w="60" w:type="dxa"/>
            </w:tcMar>
          </w:tcPr>
          <w:p>
            <w:pPr>
              <w:spacing w:before="40" w:after="40"/>
            </w:pPr>
            <w:r>
              <w:rPr>
                <w:rFonts w:ascii="Times New Roman" w:hAnsi="Times New Roman"/>
                <w:sz w:val="21"/>
              </w:rPr>
              <w:t>List of Abbreviations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x</w:t>
            </w:r>
          </w:p>
        </w:tc>
      </w:tr>
      <w:tr>
        <w:tc>
          <w:tcPr>
            <w:tcW w:type="dxa" w:w="7920"/>
            <w:tcMar>
              <w:top w:w="40" w:type="dxa"/>
              <w:bottom w:w="40" w:type="dxa"/>
              <w:left w:w="60" w:type="dxa"/>
              <w:right w:w="60" w:type="dxa"/>
            </w:tcMar>
          </w:tcPr>
          <w:p>
            <w:pPr>
              <w:spacing w:before="40" w:after="40"/>
            </w:pPr>
            <w:r>
              <w:rPr>
                <w:rFonts w:ascii="Times New Roman" w:hAnsi="Times New Roman"/>
                <w:b/>
                <w:sz w:val="21"/>
              </w:rPr>
              <w:t>Chapter 1: Introduction &amp; Problem Formulation</w:t>
            </w:r>
          </w:p>
        </w:tc>
        <w:tc>
          <w:tcPr>
            <w:tcW w:type="dxa" w:w="1152"/>
            <w:tcMar>
              <w:top w:w="40" w:type="dxa"/>
              <w:bottom w:w="40" w:type="dxa"/>
              <w:left w:w="60" w:type="dxa"/>
              <w:right w:w="60" w:type="dxa"/>
            </w:tcMar>
          </w:tcPr>
          <w:p>
            <w:pPr>
              <w:spacing w:before="40" w:after="40"/>
              <w:jc w:val="right"/>
            </w:pPr>
            <w:r>
              <w:rPr>
                <w:rFonts w:ascii="Times New Roman" w:hAnsi="Times New Roman"/>
                <w:sz w:val="21"/>
              </w:rPr>
              <w:t>1</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1.1 Background and Problem Context</w:t>
            </w:r>
          </w:p>
        </w:tc>
        <w:tc>
          <w:tcPr>
            <w:tcW w:type="dxa" w:w="1152"/>
            <w:tcMar>
              <w:top w:w="40" w:type="dxa"/>
              <w:bottom w:w="40" w:type="dxa"/>
              <w:left w:w="60" w:type="dxa"/>
              <w:right w:w="60" w:type="dxa"/>
            </w:tcMar>
          </w:tcPr>
          <w:p>
            <w:pPr>
              <w:spacing w:before="40" w:after="40"/>
              <w:jc w:val="right"/>
            </w:pPr>
            <w:r>
              <w:rPr>
                <w:rFonts w:ascii="Times New Roman" w:hAnsi="Times New Roman"/>
                <w:sz w:val="21"/>
              </w:rPr>
              <w:t>1</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1.2 Taxonomy and Modalities of Dark Patterns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1.3 Legal and Regulatory Imperatives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4</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1.4 Limitations of Existing Heuristic Systems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5</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1.5 Objectives and Project Scope</w:t>
            </w:r>
          </w:p>
        </w:tc>
        <w:tc>
          <w:tcPr>
            <w:tcW w:type="dxa" w:w="1152"/>
            <w:tcMar>
              <w:top w:w="40" w:type="dxa"/>
              <w:bottom w:w="40" w:type="dxa"/>
              <w:left w:w="60" w:type="dxa"/>
              <w:right w:w="60" w:type="dxa"/>
            </w:tcMar>
          </w:tcPr>
          <w:p>
            <w:pPr>
              <w:spacing w:before="40" w:after="40"/>
              <w:jc w:val="right"/>
            </w:pPr>
            <w:r>
              <w:rPr>
                <w:rFonts w:ascii="Times New Roman" w:hAnsi="Times New Roman"/>
                <w:sz w:val="21"/>
              </w:rPr>
              <w:t>6</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1.6 Organization of the Report</w:t>
            </w:r>
          </w:p>
        </w:tc>
        <w:tc>
          <w:tcPr>
            <w:tcW w:type="dxa" w:w="1152"/>
            <w:tcMar>
              <w:top w:w="40" w:type="dxa"/>
              <w:bottom w:w="40" w:type="dxa"/>
              <w:left w:w="60" w:type="dxa"/>
              <w:right w:w="60" w:type="dxa"/>
            </w:tcMar>
          </w:tcPr>
          <w:p>
            <w:pPr>
              <w:spacing w:before="40" w:after="40"/>
              <w:jc w:val="right"/>
            </w:pPr>
            <w:r>
              <w:rPr>
                <w:rFonts w:ascii="Times New Roman" w:hAnsi="Times New Roman"/>
                <w:sz w:val="21"/>
              </w:rPr>
              <w:t>7</w:t>
            </w:r>
          </w:p>
        </w:tc>
      </w:tr>
      <w:tr>
        <w:tc>
          <w:tcPr>
            <w:tcW w:type="dxa" w:w="7920"/>
            <w:tcMar>
              <w:top w:w="40" w:type="dxa"/>
              <w:bottom w:w="40" w:type="dxa"/>
              <w:left w:w="60" w:type="dxa"/>
              <w:right w:w="60" w:type="dxa"/>
            </w:tcMar>
          </w:tcPr>
          <w:p>
            <w:pPr>
              <w:spacing w:before="40" w:after="40"/>
            </w:pPr>
            <w:r>
              <w:rPr>
                <w:rFonts w:ascii="Times New Roman" w:hAnsi="Times New Roman"/>
                <w:b/>
                <w:sz w:val="21"/>
              </w:rPr>
              <w:t>Chapter 2: Literature Review &amp; Related Work</w:t>
            </w:r>
          </w:p>
        </w:tc>
        <w:tc>
          <w:tcPr>
            <w:tcW w:type="dxa" w:w="1152"/>
            <w:tcMar>
              <w:top w:w="40" w:type="dxa"/>
              <w:bottom w:w="40" w:type="dxa"/>
              <w:left w:w="60" w:type="dxa"/>
              <w:right w:w="60" w:type="dxa"/>
            </w:tcMar>
          </w:tcPr>
          <w:p>
            <w:pPr>
              <w:spacing w:before="40" w:after="40"/>
              <w:jc w:val="right"/>
            </w:pPr>
            <w:r>
              <w:rPr>
                <w:rFonts w:ascii="Times New Roman" w:hAnsi="Times New Roman"/>
                <w:sz w:val="21"/>
              </w:rPr>
              <w:t>8</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2.1 Foundational Studies on Deceptive User Interfaces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8</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2.2 Machine Learning for Text Classification in Web Security</w:t>
            </w:r>
          </w:p>
        </w:tc>
        <w:tc>
          <w:tcPr>
            <w:tcW w:type="dxa" w:w="1152"/>
            <w:tcMar>
              <w:top w:w="40" w:type="dxa"/>
              <w:bottom w:w="40" w:type="dxa"/>
              <w:left w:w="60" w:type="dxa"/>
              <w:right w:w="60" w:type="dxa"/>
            </w:tcMar>
          </w:tcPr>
          <w:p>
            <w:pPr>
              <w:spacing w:before="40" w:after="40"/>
              <w:jc w:val="right"/>
            </w:pPr>
            <w:r>
              <w:rPr>
                <w:rFonts w:ascii="Times New Roman" w:hAnsi="Times New Roman"/>
                <w:sz w:val="21"/>
              </w:rPr>
              <w:t>9</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2.3 Explainable Artificial Intelligence (XAI) in Consumer Trust</w:t>
            </w:r>
          </w:p>
        </w:tc>
        <w:tc>
          <w:tcPr>
            <w:tcW w:type="dxa" w:w="1152"/>
            <w:tcMar>
              <w:top w:w="40" w:type="dxa"/>
              <w:bottom w:w="40" w:type="dxa"/>
              <w:left w:w="60" w:type="dxa"/>
              <w:right w:w="60" w:type="dxa"/>
            </w:tcMar>
          </w:tcPr>
          <w:p>
            <w:pPr>
              <w:spacing w:before="40" w:after="40"/>
              <w:jc w:val="right"/>
            </w:pPr>
            <w:r>
              <w:rPr>
                <w:rFonts w:ascii="Times New Roman" w:hAnsi="Times New Roman"/>
                <w:sz w:val="21"/>
              </w:rPr>
              <w:t>11</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2.4 Anti-Scraping Evasion and Bot Challenges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12</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2.5 Identified Research Gaps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13</w:t>
            </w:r>
          </w:p>
        </w:tc>
      </w:tr>
      <w:tr>
        <w:tc>
          <w:tcPr>
            <w:tcW w:type="dxa" w:w="7920"/>
            <w:tcMar>
              <w:top w:w="40" w:type="dxa"/>
              <w:bottom w:w="40" w:type="dxa"/>
              <w:left w:w="60" w:type="dxa"/>
              <w:right w:w="60" w:type="dxa"/>
            </w:tcMar>
          </w:tcPr>
          <w:p>
            <w:pPr>
              <w:spacing w:before="40" w:after="40"/>
            </w:pPr>
            <w:r>
              <w:rPr>
                <w:rFonts w:ascii="Times New Roman" w:hAnsi="Times New Roman"/>
                <w:b/>
                <w:sz w:val="21"/>
              </w:rPr>
              <w:t>Chapter 3: System Design &amp; Architectural Blueprint</w:t>
            </w:r>
          </w:p>
        </w:tc>
        <w:tc>
          <w:tcPr>
            <w:tcW w:type="dxa" w:w="1152"/>
            <w:tcMar>
              <w:top w:w="40" w:type="dxa"/>
              <w:bottom w:w="40" w:type="dxa"/>
              <w:left w:w="60" w:type="dxa"/>
              <w:right w:w="60" w:type="dxa"/>
            </w:tcMar>
          </w:tcPr>
          <w:p>
            <w:pPr>
              <w:spacing w:before="40" w:after="40"/>
              <w:jc w:val="right"/>
            </w:pPr>
            <w:r>
              <w:rPr>
                <w:rFonts w:ascii="Times New Roman" w:hAnsi="Times New Roman"/>
                <w:sz w:val="21"/>
              </w:rPr>
              <w:t>14</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3.1 High-Level Architecture Overview</w:t>
            </w:r>
          </w:p>
        </w:tc>
        <w:tc>
          <w:tcPr>
            <w:tcW w:type="dxa" w:w="1152"/>
            <w:tcMar>
              <w:top w:w="40" w:type="dxa"/>
              <w:bottom w:w="40" w:type="dxa"/>
              <w:left w:w="60" w:type="dxa"/>
              <w:right w:w="60" w:type="dxa"/>
            </w:tcMar>
          </w:tcPr>
          <w:p>
            <w:pPr>
              <w:spacing w:before="40" w:after="40"/>
              <w:jc w:val="right"/>
            </w:pPr>
            <w:r>
              <w:rPr>
                <w:rFonts w:ascii="Times New Roman" w:hAnsi="Times New Roman"/>
                <w:sz w:val="21"/>
              </w:rPr>
              <w:t>14</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3.2 Enterprise MLOps Pipeline Architecture</w:t>
            </w:r>
          </w:p>
        </w:tc>
        <w:tc>
          <w:tcPr>
            <w:tcW w:type="dxa" w:w="1152"/>
            <w:tcMar>
              <w:top w:w="40" w:type="dxa"/>
              <w:bottom w:w="40" w:type="dxa"/>
              <w:left w:w="60" w:type="dxa"/>
              <w:right w:w="60" w:type="dxa"/>
            </w:tcMar>
          </w:tcPr>
          <w:p>
            <w:pPr>
              <w:spacing w:before="40" w:after="40"/>
              <w:jc w:val="right"/>
            </w:pPr>
            <w:r>
              <w:rPr>
                <w:rFonts w:ascii="Times New Roman" w:hAnsi="Times New Roman"/>
                <w:sz w:val="21"/>
              </w:rPr>
              <w:t>16</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3.3 Stealth Chromium Dynamic Web Scraper</w:t>
            </w:r>
          </w:p>
        </w:tc>
        <w:tc>
          <w:tcPr>
            <w:tcW w:type="dxa" w:w="1152"/>
            <w:tcMar>
              <w:top w:w="40" w:type="dxa"/>
              <w:bottom w:w="40" w:type="dxa"/>
              <w:left w:w="60" w:type="dxa"/>
              <w:right w:w="60" w:type="dxa"/>
            </w:tcMar>
          </w:tcPr>
          <w:p>
            <w:pPr>
              <w:spacing w:before="40" w:after="40"/>
              <w:jc w:val="right"/>
            </w:pPr>
            <w:r>
              <w:rPr>
                <w:rFonts w:ascii="Times New Roman" w:hAnsi="Times New Roman"/>
                <w:sz w:val="21"/>
              </w:rPr>
              <w:t>18</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3.4 Granular Element-Level Scoring vs. Whole-Page Concatenation</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20</w:t>
            </w:r>
          </w:p>
        </w:tc>
      </w:tr>
      <w:tr>
        <w:tc>
          <w:tcPr>
            <w:tcW w:type="dxa" w:w="7920"/>
            <w:tcMar>
              <w:top w:w="40" w:type="dxa"/>
              <w:bottom w:w="40" w:type="dxa"/>
              <w:left w:w="60" w:type="dxa"/>
              <w:right w:w="60" w:type="dxa"/>
            </w:tcMar>
          </w:tcPr>
          <w:p>
            <w:pPr>
              <w:spacing w:before="40" w:after="40"/>
            </w:pPr>
            <w:r>
              <w:rPr>
                <w:rFonts w:ascii="Times New Roman" w:hAnsi="Times New Roman"/>
                <w:b/>
                <w:sz w:val="21"/>
              </w:rPr>
              <w:t>Chapter 4: Dataset &amp; Exploratory Data Analysis (EDA)</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22</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4.1 Dataset Origin and Characteristics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22</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4.2 Data Ingestion, Validation and Stratified Splitting</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23</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4.3 Data Preprocessing and Train-Only Vectorization</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24</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4.4 Statistical Analysis and Feature Distributions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25</w:t>
            </w:r>
          </w:p>
        </w:tc>
      </w:tr>
      <w:tr>
        <w:tc>
          <w:tcPr>
            <w:tcW w:type="dxa" w:w="7920"/>
            <w:tcMar>
              <w:top w:w="40" w:type="dxa"/>
              <w:bottom w:w="40" w:type="dxa"/>
              <w:left w:w="60" w:type="dxa"/>
              <w:right w:w="60" w:type="dxa"/>
            </w:tcMar>
          </w:tcPr>
          <w:p>
            <w:pPr>
              <w:spacing w:before="40" w:after="40"/>
            </w:pPr>
            <w:r>
              <w:rPr>
                <w:rFonts w:ascii="Times New Roman" w:hAnsi="Times New Roman"/>
                <w:b/>
                <w:sz w:val="21"/>
              </w:rPr>
              <w:t>Chapter 5: Methodology, Model Training &amp; Explainability</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27</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5.1 Supervised Learning Formulations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27</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5.2 Classical Machine Learning Architectures (LR &amp; SVM)</w:t>
            </w:r>
          </w:p>
        </w:tc>
        <w:tc>
          <w:tcPr>
            <w:tcW w:type="dxa" w:w="1152"/>
            <w:tcMar>
              <w:top w:w="40" w:type="dxa"/>
              <w:bottom w:w="40" w:type="dxa"/>
              <w:left w:w="60" w:type="dxa"/>
              <w:right w:w="60" w:type="dxa"/>
            </w:tcMar>
          </w:tcPr>
          <w:p>
            <w:pPr>
              <w:spacing w:before="40" w:after="40"/>
              <w:jc w:val="right"/>
            </w:pPr>
            <w:r>
              <w:rPr>
                <w:rFonts w:ascii="Times New Roman" w:hAnsi="Times New Roman"/>
                <w:sz w:val="21"/>
              </w:rPr>
              <w:t>28</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5.3 Recurrent Deep Learning Architectures (LSTM &amp; GRU)</w:t>
            </w:r>
          </w:p>
        </w:tc>
        <w:tc>
          <w:tcPr>
            <w:tcW w:type="dxa" w:w="1152"/>
            <w:tcMar>
              <w:top w:w="40" w:type="dxa"/>
              <w:bottom w:w="40" w:type="dxa"/>
              <w:left w:w="60" w:type="dxa"/>
              <w:right w:w="60" w:type="dxa"/>
            </w:tcMar>
          </w:tcPr>
          <w:p>
            <w:pPr>
              <w:spacing w:before="40" w:after="40"/>
              <w:jc w:val="right"/>
            </w:pPr>
            <w:r>
              <w:rPr>
                <w:rFonts w:ascii="Times New Roman" w:hAnsi="Times New Roman"/>
                <w:sz w:val="21"/>
              </w:rPr>
              <w:t>30</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5.4 Explainable AI (XAI) Mathematical Modeling with SHAP</w:t>
            </w:r>
          </w:p>
        </w:tc>
        <w:tc>
          <w:tcPr>
            <w:tcW w:type="dxa" w:w="1152"/>
            <w:tcMar>
              <w:top w:w="40" w:type="dxa"/>
              <w:bottom w:w="40" w:type="dxa"/>
              <w:left w:w="60" w:type="dxa"/>
              <w:right w:w="60" w:type="dxa"/>
            </w:tcMar>
          </w:tcPr>
          <w:p>
            <w:pPr>
              <w:spacing w:before="40" w:after="40"/>
              <w:jc w:val="right"/>
            </w:pPr>
            <w:r>
              <w:rPr>
                <w:rFonts w:ascii="Times New Roman" w:hAnsi="Times New Roman"/>
                <w:sz w:val="21"/>
              </w:rPr>
              <w:t>33</w:t>
            </w:r>
          </w:p>
        </w:tc>
      </w:tr>
      <w:tr>
        <w:tc>
          <w:tcPr>
            <w:tcW w:type="dxa" w:w="7920"/>
            <w:tcMar>
              <w:top w:w="40" w:type="dxa"/>
              <w:bottom w:w="40" w:type="dxa"/>
              <w:left w:w="60" w:type="dxa"/>
              <w:right w:w="60" w:type="dxa"/>
            </w:tcMar>
          </w:tcPr>
          <w:p>
            <w:pPr>
              <w:spacing w:before="40" w:after="40"/>
            </w:pPr>
            <w:r>
              <w:rPr>
                <w:rFonts w:ascii="Times New Roman" w:hAnsi="Times New Roman"/>
                <w:b/>
                <w:sz w:val="21"/>
              </w:rPr>
              <w:t>Chapter 6: Experimental Results &amp; Comparative Evaluation</w:t>
            </w:r>
          </w:p>
        </w:tc>
        <w:tc>
          <w:tcPr>
            <w:tcW w:type="dxa" w:w="1152"/>
            <w:tcMar>
              <w:top w:w="40" w:type="dxa"/>
              <w:bottom w:w="40" w:type="dxa"/>
              <w:left w:w="60" w:type="dxa"/>
              <w:right w:w="60" w:type="dxa"/>
            </w:tcMar>
          </w:tcPr>
          <w:p>
            <w:pPr>
              <w:spacing w:before="40" w:after="40"/>
              <w:jc w:val="right"/>
            </w:pPr>
            <w:r>
              <w:rPr>
                <w:rFonts w:ascii="Times New Roman" w:hAnsi="Times New Roman"/>
                <w:sz w:val="21"/>
              </w:rPr>
              <w:t>36</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6.1 Experimental Protocol and Cross-Validation Setup</w:t>
            </w:r>
          </w:p>
        </w:tc>
        <w:tc>
          <w:tcPr>
            <w:tcW w:type="dxa" w:w="1152"/>
            <w:tcMar>
              <w:top w:w="40" w:type="dxa"/>
              <w:bottom w:w="40" w:type="dxa"/>
              <w:left w:w="60" w:type="dxa"/>
              <w:right w:w="60" w:type="dxa"/>
            </w:tcMar>
          </w:tcPr>
          <w:p>
            <w:pPr>
              <w:spacing w:before="40" w:after="40"/>
              <w:jc w:val="right"/>
            </w:pPr>
            <w:r>
              <w:rPr>
                <w:rFonts w:ascii="Times New Roman" w:hAnsi="Times New Roman"/>
                <w:sz w:val="21"/>
              </w:rPr>
              <w:t>36</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6.2 Comparative Model Performance Analysis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37</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6.3 Confusion Matrix and ROC Curve Analysis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39</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6.4 Real-World E-Commerce Verification &amp; Benchmarking</w:t>
            </w:r>
          </w:p>
        </w:tc>
        <w:tc>
          <w:tcPr>
            <w:tcW w:type="dxa" w:w="1152"/>
            <w:tcMar>
              <w:top w:w="40" w:type="dxa"/>
              <w:bottom w:w="40" w:type="dxa"/>
              <w:left w:w="60" w:type="dxa"/>
              <w:right w:w="60" w:type="dxa"/>
            </w:tcMar>
          </w:tcPr>
          <w:p>
            <w:pPr>
              <w:spacing w:before="40" w:after="40"/>
              <w:jc w:val="right"/>
            </w:pPr>
            <w:r>
              <w:rPr>
                <w:rFonts w:ascii="Times New Roman" w:hAnsi="Times New Roman"/>
                <w:sz w:val="21"/>
              </w:rPr>
              <w:t>41</w:t>
            </w:r>
          </w:p>
        </w:tc>
      </w:tr>
      <w:tr>
        <w:tc>
          <w:tcPr>
            <w:tcW w:type="dxa" w:w="7920"/>
            <w:tcMar>
              <w:top w:w="40" w:type="dxa"/>
              <w:bottom w:w="40" w:type="dxa"/>
              <w:left w:w="60" w:type="dxa"/>
              <w:right w:w="60" w:type="dxa"/>
            </w:tcMar>
          </w:tcPr>
          <w:p>
            <w:pPr>
              <w:spacing w:before="40" w:after="40"/>
            </w:pPr>
            <w:r>
              <w:rPr>
                <w:rFonts w:ascii="Times New Roman" w:hAnsi="Times New Roman"/>
                <w:b/>
                <w:sz w:val="21"/>
              </w:rPr>
              <w:t>Chapter 7: Software Implementation &amp; User Interface</w:t>
            </w:r>
          </w:p>
        </w:tc>
        <w:tc>
          <w:tcPr>
            <w:tcW w:type="dxa" w:w="1152"/>
            <w:tcMar>
              <w:top w:w="40" w:type="dxa"/>
              <w:bottom w:w="40" w:type="dxa"/>
              <w:left w:w="60" w:type="dxa"/>
              <w:right w:w="60" w:type="dxa"/>
            </w:tcMar>
          </w:tcPr>
          <w:p>
            <w:pPr>
              <w:spacing w:before="40" w:after="40"/>
              <w:jc w:val="right"/>
            </w:pPr>
            <w:r>
              <w:rPr>
                <w:rFonts w:ascii="Times New Roman" w:hAnsi="Times New Roman"/>
                <w:sz w:val="21"/>
              </w:rPr>
              <w:t>44</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7.1 FastAPI Asynchronous Microservice</w:t>
            </w:r>
          </w:p>
        </w:tc>
        <w:tc>
          <w:tcPr>
            <w:tcW w:type="dxa" w:w="1152"/>
            <w:tcMar>
              <w:top w:w="40" w:type="dxa"/>
              <w:bottom w:w="40" w:type="dxa"/>
              <w:left w:w="60" w:type="dxa"/>
              <w:right w:w="60" w:type="dxa"/>
            </w:tcMar>
          </w:tcPr>
          <w:p>
            <w:pPr>
              <w:spacing w:before="40" w:after="40"/>
              <w:jc w:val="right"/>
            </w:pPr>
            <w:r>
              <w:rPr>
                <w:rFonts w:ascii="Times New Roman" w:hAnsi="Times New Roman"/>
                <w:sz w:val="21"/>
              </w:rPr>
              <w:t>44</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7.2 Sentinel Amber Web Application (React + Vite)</w:t>
            </w:r>
          </w:p>
        </w:tc>
        <w:tc>
          <w:tcPr>
            <w:tcW w:type="dxa" w:w="1152"/>
            <w:tcMar>
              <w:top w:w="40" w:type="dxa"/>
              <w:bottom w:w="40" w:type="dxa"/>
              <w:left w:w="60" w:type="dxa"/>
              <w:right w:w="60" w:type="dxa"/>
            </w:tcMar>
          </w:tcPr>
          <w:p>
            <w:pPr>
              <w:spacing w:before="40" w:after="40"/>
              <w:jc w:val="right"/>
            </w:pPr>
            <w:r>
              <w:rPr>
                <w:rFonts w:ascii="Times New Roman" w:hAnsi="Times New Roman"/>
                <w:sz w:val="21"/>
              </w:rPr>
              <w:t>46</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7.3 Chrome Browser Extension (Manifest V3)</w:t>
            </w:r>
          </w:p>
        </w:tc>
        <w:tc>
          <w:tcPr>
            <w:tcW w:type="dxa" w:w="1152"/>
            <w:tcMar>
              <w:top w:w="40" w:type="dxa"/>
              <w:bottom w:w="40" w:type="dxa"/>
              <w:left w:w="60" w:type="dxa"/>
              <w:right w:w="60" w:type="dxa"/>
            </w:tcMar>
          </w:tcPr>
          <w:p>
            <w:pPr>
              <w:spacing w:before="40" w:after="40"/>
              <w:jc w:val="right"/>
            </w:pPr>
            <w:r>
              <w:rPr>
                <w:rFonts w:ascii="Times New Roman" w:hAnsi="Times New Roman"/>
                <w:sz w:val="21"/>
              </w:rPr>
              <w:t>48</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7.4 Containerization and Continuous Integration (CI/CD)</w:t>
            </w:r>
          </w:p>
        </w:tc>
        <w:tc>
          <w:tcPr>
            <w:tcW w:type="dxa" w:w="1152"/>
            <w:tcMar>
              <w:top w:w="40" w:type="dxa"/>
              <w:bottom w:w="40" w:type="dxa"/>
              <w:left w:w="60" w:type="dxa"/>
              <w:right w:w="60" w:type="dxa"/>
            </w:tcMar>
          </w:tcPr>
          <w:p>
            <w:pPr>
              <w:spacing w:before="40" w:after="40"/>
              <w:jc w:val="right"/>
            </w:pPr>
            <w:r>
              <w:rPr>
                <w:rFonts w:ascii="Times New Roman" w:hAnsi="Times New Roman"/>
                <w:sz w:val="21"/>
              </w:rPr>
              <w:t>49</w:t>
            </w:r>
          </w:p>
        </w:tc>
      </w:tr>
      <w:tr>
        <w:tc>
          <w:tcPr>
            <w:tcW w:type="dxa" w:w="7920"/>
            <w:tcMar>
              <w:top w:w="40" w:type="dxa"/>
              <w:bottom w:w="40" w:type="dxa"/>
              <w:left w:w="60" w:type="dxa"/>
              <w:right w:w="60" w:type="dxa"/>
            </w:tcMar>
          </w:tcPr>
          <w:p>
            <w:pPr>
              <w:spacing w:before="40" w:after="40"/>
            </w:pPr>
            <w:r>
              <w:rPr>
                <w:rFonts w:ascii="Times New Roman" w:hAnsi="Times New Roman"/>
                <w:b/>
                <w:sz w:val="21"/>
              </w:rPr>
              <w:t>Chapter 8: Discussion, Limitations &amp; Ethical Considerations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51</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8.1 Error Analysis and Deceptive Evasion Strategies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51</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8.2 System Limitations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52</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8.3 Ethical Web Scraping and Privacy Considerations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53</w:t>
            </w:r>
          </w:p>
        </w:tc>
      </w:tr>
      <w:tr>
        <w:tc>
          <w:tcPr>
            <w:tcW w:type="dxa" w:w="7920"/>
            <w:tcMar>
              <w:top w:w="40" w:type="dxa"/>
              <w:bottom w:w="40" w:type="dxa"/>
              <w:left w:w="60" w:type="dxa"/>
              <w:right w:w="60" w:type="dxa"/>
            </w:tcMar>
          </w:tcPr>
          <w:p>
            <w:pPr>
              <w:spacing w:before="40" w:after="40"/>
            </w:pPr>
            <w:r>
              <w:rPr>
                <w:rFonts w:ascii="Times New Roman" w:hAnsi="Times New Roman"/>
                <w:b/>
                <w:sz w:val="21"/>
              </w:rPr>
              <w:t>Chapter 9: Conclusion &amp; Future Scope</w:t>
            </w:r>
          </w:p>
        </w:tc>
        <w:tc>
          <w:tcPr>
            <w:tcW w:type="dxa" w:w="1152"/>
            <w:tcMar>
              <w:top w:w="40" w:type="dxa"/>
              <w:bottom w:w="40" w:type="dxa"/>
              <w:left w:w="60" w:type="dxa"/>
              <w:right w:w="60" w:type="dxa"/>
            </w:tcMar>
          </w:tcPr>
          <w:p>
            <w:pPr>
              <w:spacing w:before="40" w:after="40"/>
              <w:jc w:val="right"/>
            </w:pPr>
            <w:r>
              <w:rPr>
                <w:rFonts w:ascii="Times New Roman" w:hAnsi="Times New Roman"/>
                <w:sz w:val="21"/>
              </w:rPr>
              <w:t>55</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9.1 Summary of Contributions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55</w:t>
            </w:r>
          </w:p>
        </w:tc>
      </w:tr>
      <w:tr>
        <w:tc>
          <w:tcPr>
            <w:tcW w:type="dxa" w:w="7920"/>
            <w:tcMar>
              <w:top w:w="40" w:type="dxa"/>
              <w:bottom w:w="40" w:type="dxa"/>
              <w:left w:w="60" w:type="dxa"/>
              <w:right w:w="60" w:type="dxa"/>
            </w:tcMar>
          </w:tcPr>
          <w:p>
            <w:pPr>
              <w:spacing w:before="40" w:after="40"/>
            </w:pPr>
            <w:r>
              <w:rPr>
                <w:rFonts w:ascii="Times New Roman" w:hAnsi="Times New Roman"/>
                <w:sz w:val="21"/>
              </w:rPr>
              <w:t xml:space="preserve">   9.2 Future Research Directions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56</w:t>
            </w:r>
          </w:p>
        </w:tc>
      </w:tr>
      <w:tr>
        <w:tc>
          <w:tcPr>
            <w:tcW w:type="dxa" w:w="7920"/>
            <w:tcMar>
              <w:top w:w="40" w:type="dxa"/>
              <w:bottom w:w="40" w:type="dxa"/>
              <w:left w:w="60" w:type="dxa"/>
              <w:right w:w="60" w:type="dxa"/>
            </w:tcMar>
          </w:tcPr>
          <w:p>
            <w:pPr>
              <w:spacing w:before="40" w:after="40"/>
            </w:pPr>
            <w:r>
              <w:rPr>
                <w:rFonts w:ascii="Times New Roman" w:hAnsi="Times New Roman"/>
                <w:b/>
                <w:sz w:val="21"/>
              </w:rPr>
              <w:t>References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58</w:t>
            </w:r>
          </w:p>
        </w:tc>
      </w:tr>
      <w:tr>
        <w:tc>
          <w:tcPr>
            <w:tcW w:type="dxa" w:w="7920"/>
            <w:tcMar>
              <w:top w:w="40" w:type="dxa"/>
              <w:bottom w:w="40" w:type="dxa"/>
              <w:left w:w="60" w:type="dxa"/>
              <w:right w:w="60" w:type="dxa"/>
            </w:tcMar>
          </w:tcPr>
          <w:p>
            <w:pPr>
              <w:spacing w:before="40" w:after="40"/>
            </w:pPr>
            <w:r>
              <w:rPr>
                <w:rFonts w:ascii="Times New Roman" w:hAnsi="Times New Roman"/>
                <w:sz w:val="21"/>
              </w:rPr>
              <w:t>Appendix A: API Endpoint Specifications</w:t>
            </w:r>
          </w:p>
        </w:tc>
        <w:tc>
          <w:tcPr>
            <w:tcW w:type="dxa" w:w="1152"/>
            <w:tcMar>
              <w:top w:w="40" w:type="dxa"/>
              <w:bottom w:w="40" w:type="dxa"/>
              <w:left w:w="60" w:type="dxa"/>
              <w:right w:w="60" w:type="dxa"/>
            </w:tcMar>
          </w:tcPr>
          <w:p>
            <w:pPr>
              <w:spacing w:before="40" w:after="40"/>
              <w:jc w:val="right"/>
            </w:pPr>
            <w:r>
              <w:rPr>
                <w:rFonts w:ascii="Times New Roman" w:hAnsi="Times New Roman"/>
                <w:sz w:val="21"/>
              </w:rPr>
              <w:t>62</w:t>
            </w:r>
          </w:p>
        </w:tc>
      </w:tr>
      <w:tr>
        <w:tc>
          <w:tcPr>
            <w:tcW w:type="dxa" w:w="7920"/>
            <w:tcMar>
              <w:top w:w="40" w:type="dxa"/>
              <w:bottom w:w="40" w:type="dxa"/>
              <w:left w:w="60" w:type="dxa"/>
              <w:right w:w="60" w:type="dxa"/>
            </w:tcMar>
          </w:tcPr>
          <w:p>
            <w:pPr>
              <w:spacing w:before="40" w:after="40"/>
            </w:pPr>
            <w:r>
              <w:rPr>
                <w:rFonts w:ascii="Times New Roman" w:hAnsi="Times New Roman"/>
                <w:sz w:val="21"/>
              </w:rPr>
              <w:t>Appendix B: Software and Hardware Environment</w:t>
            </w:r>
          </w:p>
        </w:tc>
        <w:tc>
          <w:tcPr>
            <w:tcW w:type="dxa" w:w="1152"/>
            <w:tcMar>
              <w:top w:w="40" w:type="dxa"/>
              <w:bottom w:w="40" w:type="dxa"/>
              <w:left w:w="60" w:type="dxa"/>
              <w:right w:w="60" w:type="dxa"/>
            </w:tcMar>
          </w:tcPr>
          <w:p>
            <w:pPr>
              <w:spacing w:before="40" w:after="40"/>
              <w:jc w:val="right"/>
            </w:pPr>
            <w:r>
              <w:rPr>
                <w:rFonts w:ascii="Times New Roman" w:hAnsi="Times New Roman"/>
                <w:sz w:val="21"/>
              </w:rPr>
              <w:t>64</w:t>
            </w:r>
          </w:p>
        </w:tc>
      </w:tr>
    </w:tbl>
    <w:p>
      <w:r>
        <w:br w:type="page"/>
      </w:r>
    </w:p>
    <w:p>
      <w:pPr>
        <w:spacing w:before="200" w:after="240"/>
        <w:jc w:val="center"/>
      </w:pPr>
      <w:r>
        <w:rPr>
          <w:rFonts w:ascii="Times New Roman" w:hAnsi="Times New Roman"/>
          <w:b/>
          <w:color w:val="1B365D"/>
          <w:sz w:val="30"/>
        </w:rPr>
        <w:t>LIST OF FIGURES</w:t>
      </w:r>
    </w:p>
    <w:tbl>
      <w:tblPr>
        <w:tblW w:type="auto" w:w="0"/>
        <w:jc w:val="center"/>
        <w:tblLook w:firstColumn="1" w:firstRow="1" w:lastColumn="0" w:lastRow="0" w:noHBand="0" w:noVBand="1" w:val="04A0"/>
        <w:tblBorders>
          <w:top w:val="single" w:sz="6" w:space="0" w:color="CCCCCC"/>
          <w:bottom w:val="single" w:sz="8" w:space="0" w:color="1B365D"/>
          <w:left w:val="none"/>
          <w:right w:val="none"/>
          <w:insideH w:val="single" w:sz="4" w:space="0" w:color="E0E0E0"/>
          <w:insideV w:val="none"/>
        </w:tblBorders>
      </w:tblPr>
      <w:tblGrid>
        <w:gridCol w:w="3000"/>
        <w:gridCol w:w="3000"/>
        <w:gridCol w:w="3000"/>
      </w:tblGrid>
      <w:tr>
        <w:tc>
          <w:tcPr>
            <w:tcW w:type="dxa" w:w="1728"/>
            <w:tcMar>
              <w:top w:w="40" w:type="dxa"/>
              <w:bottom w:w="40" w:type="dxa"/>
              <w:left w:w="60" w:type="dxa"/>
              <w:right w:w="60" w:type="dxa"/>
            </w:tcMar>
          </w:tcPr>
          <w:p>
            <w:r>
              <w:rPr>
                <w:rFonts w:ascii="Times New Roman" w:hAnsi="Times New Roman"/>
                <w:b/>
                <w:sz w:val="20"/>
              </w:rPr>
              <w:t>Figure 3.1</w:t>
            </w:r>
          </w:p>
        </w:tc>
        <w:tc>
          <w:tcPr>
            <w:tcW w:type="dxa" w:w="6192"/>
            <w:tcMar>
              <w:top w:w="40" w:type="dxa"/>
              <w:bottom w:w="40" w:type="dxa"/>
              <w:left w:w="60" w:type="dxa"/>
              <w:right w:w="60" w:type="dxa"/>
            </w:tcMar>
          </w:tcPr>
          <w:p>
            <w:r>
              <w:rPr>
                <w:rFonts w:ascii="Times New Roman" w:hAnsi="Times New Roman"/>
                <w:sz w:val="20"/>
              </w:rPr>
              <w:t>High-Level DarkShield AI End-to-End System Architecture</w:t>
            </w:r>
          </w:p>
        </w:tc>
        <w:tc>
          <w:tcPr>
            <w:tcW w:type="dxa" w:w="1152"/>
            <w:tcMar>
              <w:top w:w="40" w:type="dxa"/>
              <w:bottom w:w="40" w:type="dxa"/>
              <w:left w:w="60" w:type="dxa"/>
              <w:right w:w="60" w:type="dxa"/>
            </w:tcMar>
          </w:tcPr>
          <w:p>
            <w:pPr>
              <w:jc w:val="right"/>
            </w:pPr>
            <w:r>
              <w:rPr>
                <w:rFonts w:ascii="Times New Roman" w:hAnsi="Times New Roman"/>
                <w:sz w:val="20"/>
              </w:rPr>
              <w:t>15</w:t>
            </w:r>
          </w:p>
        </w:tc>
      </w:tr>
      <w:tr>
        <w:tc>
          <w:tcPr>
            <w:tcW w:type="dxa" w:w="1728"/>
            <w:tcMar>
              <w:top w:w="40" w:type="dxa"/>
              <w:bottom w:w="40" w:type="dxa"/>
              <w:left w:w="60" w:type="dxa"/>
              <w:right w:w="60" w:type="dxa"/>
            </w:tcMar>
          </w:tcPr>
          <w:p>
            <w:r>
              <w:rPr>
                <w:rFonts w:ascii="Times New Roman" w:hAnsi="Times New Roman"/>
                <w:b/>
                <w:sz w:val="20"/>
              </w:rPr>
              <w:t>Figure 3.2</w:t>
            </w:r>
          </w:p>
        </w:tc>
        <w:tc>
          <w:tcPr>
            <w:tcW w:type="dxa" w:w="6192"/>
            <w:tcMar>
              <w:top w:w="40" w:type="dxa"/>
              <w:bottom w:w="40" w:type="dxa"/>
              <w:left w:w="60" w:type="dxa"/>
              <w:right w:w="60" w:type="dxa"/>
            </w:tcMar>
          </w:tcPr>
          <w:p>
            <w:r>
              <w:rPr>
                <w:rFonts w:ascii="Times New Roman" w:hAnsi="Times New Roman"/>
                <w:sz w:val="20"/>
              </w:rPr>
              <w:t>Enterprise MLOps Orchestration Pipeline (Ingestion to Registry)</w:t>
            </w:r>
          </w:p>
        </w:tc>
        <w:tc>
          <w:tcPr>
            <w:tcW w:type="dxa" w:w="1152"/>
            <w:tcMar>
              <w:top w:w="40" w:type="dxa"/>
              <w:bottom w:w="40" w:type="dxa"/>
              <w:left w:w="60" w:type="dxa"/>
              <w:right w:w="60" w:type="dxa"/>
            </w:tcMar>
          </w:tcPr>
          <w:p>
            <w:pPr>
              <w:jc w:val="right"/>
            </w:pPr>
            <w:r>
              <w:rPr>
                <w:rFonts w:ascii="Times New Roman" w:hAnsi="Times New Roman"/>
                <w:sz w:val="20"/>
              </w:rPr>
              <w:t>17</w:t>
            </w:r>
          </w:p>
        </w:tc>
      </w:tr>
      <w:tr>
        <w:tc>
          <w:tcPr>
            <w:tcW w:type="dxa" w:w="1728"/>
            <w:tcMar>
              <w:top w:w="40" w:type="dxa"/>
              <w:bottom w:w="40" w:type="dxa"/>
              <w:left w:w="60" w:type="dxa"/>
              <w:right w:w="60" w:type="dxa"/>
            </w:tcMar>
          </w:tcPr>
          <w:p>
            <w:r>
              <w:rPr>
                <w:rFonts w:ascii="Times New Roman" w:hAnsi="Times New Roman"/>
                <w:b/>
                <w:sz w:val="20"/>
              </w:rPr>
              <w:t>Figure 3.3</w:t>
            </w:r>
          </w:p>
        </w:tc>
        <w:tc>
          <w:tcPr>
            <w:tcW w:type="dxa" w:w="6192"/>
            <w:tcMar>
              <w:top w:w="40" w:type="dxa"/>
              <w:bottom w:w="40" w:type="dxa"/>
              <w:left w:w="60" w:type="dxa"/>
              <w:right w:w="60" w:type="dxa"/>
            </w:tcMar>
          </w:tcPr>
          <w:p>
            <w:r>
              <w:rPr>
                <w:rFonts w:ascii="Times New Roman" w:hAnsi="Times New Roman"/>
                <w:sz w:val="20"/>
              </w:rPr>
              <w:t>Dual-Stage Calibrated Granular Element-Level Scoring Flow</w:t>
            </w:r>
          </w:p>
        </w:tc>
        <w:tc>
          <w:tcPr>
            <w:tcW w:type="dxa" w:w="1152"/>
            <w:tcMar>
              <w:top w:w="40" w:type="dxa"/>
              <w:bottom w:w="40" w:type="dxa"/>
              <w:left w:w="60" w:type="dxa"/>
              <w:right w:w="60" w:type="dxa"/>
            </w:tcMar>
          </w:tcPr>
          <w:p>
            <w:pPr>
              <w:jc w:val="right"/>
            </w:pPr>
            <w:r>
              <w:rPr>
                <w:rFonts w:ascii="Times New Roman" w:hAnsi="Times New Roman"/>
                <w:sz w:val="20"/>
              </w:rPr>
              <w:t>21</w:t>
            </w:r>
          </w:p>
        </w:tc>
      </w:tr>
      <w:tr>
        <w:tc>
          <w:tcPr>
            <w:tcW w:type="dxa" w:w="1728"/>
            <w:tcMar>
              <w:top w:w="40" w:type="dxa"/>
              <w:bottom w:w="40" w:type="dxa"/>
              <w:left w:w="60" w:type="dxa"/>
              <w:right w:w="60" w:type="dxa"/>
            </w:tcMar>
          </w:tcPr>
          <w:p>
            <w:r>
              <w:rPr>
                <w:rFonts w:ascii="Times New Roman" w:hAnsi="Times New Roman"/>
                <w:b/>
                <w:sz w:val="20"/>
              </w:rPr>
              <w:t>Figure 4.1</w:t>
            </w:r>
          </w:p>
        </w:tc>
        <w:tc>
          <w:tcPr>
            <w:tcW w:type="dxa" w:w="6192"/>
            <w:tcMar>
              <w:top w:w="40" w:type="dxa"/>
              <w:bottom w:w="40" w:type="dxa"/>
              <w:left w:w="60" w:type="dxa"/>
              <w:right w:w="60" w:type="dxa"/>
            </w:tcMar>
          </w:tcPr>
          <w:p>
            <w:r>
              <w:rPr>
                <w:rFonts w:ascii="Times New Roman" w:hAnsi="Times New Roman"/>
                <w:sz w:val="20"/>
              </w:rPr>
              <w:t>Token Sequence Length and Vocabulary Distribution across ec-darkpattern</w:t>
            </w:r>
          </w:p>
        </w:tc>
        <w:tc>
          <w:tcPr>
            <w:tcW w:type="dxa" w:w="1152"/>
            <w:tcMar>
              <w:top w:w="40" w:type="dxa"/>
              <w:bottom w:w="40" w:type="dxa"/>
              <w:left w:w="60" w:type="dxa"/>
              <w:right w:w="60" w:type="dxa"/>
            </w:tcMar>
          </w:tcPr>
          <w:p>
            <w:pPr>
              <w:jc w:val="right"/>
            </w:pPr>
            <w:r>
              <w:rPr>
                <w:rFonts w:ascii="Times New Roman" w:hAnsi="Times New Roman"/>
                <w:sz w:val="20"/>
              </w:rPr>
              <w:t>26</w:t>
            </w:r>
          </w:p>
        </w:tc>
      </w:tr>
      <w:tr>
        <w:tc>
          <w:tcPr>
            <w:tcW w:type="dxa" w:w="1728"/>
            <w:tcMar>
              <w:top w:w="40" w:type="dxa"/>
              <w:bottom w:w="40" w:type="dxa"/>
              <w:left w:w="60" w:type="dxa"/>
              <w:right w:w="60" w:type="dxa"/>
            </w:tcMar>
          </w:tcPr>
          <w:p>
            <w:r>
              <w:rPr>
                <w:rFonts w:ascii="Times New Roman" w:hAnsi="Times New Roman"/>
                <w:b/>
                <w:sz w:val="20"/>
              </w:rPr>
              <w:t>Figure 5.1</w:t>
            </w:r>
          </w:p>
        </w:tc>
        <w:tc>
          <w:tcPr>
            <w:tcW w:type="dxa" w:w="6192"/>
            <w:tcMar>
              <w:top w:w="40" w:type="dxa"/>
              <w:bottom w:w="40" w:type="dxa"/>
              <w:left w:w="60" w:type="dxa"/>
              <w:right w:w="60" w:type="dxa"/>
            </w:tcMar>
          </w:tcPr>
          <w:p>
            <w:r>
              <w:rPr>
                <w:rFonts w:ascii="Times New Roman" w:hAnsi="Times New Roman"/>
                <w:sz w:val="20"/>
              </w:rPr>
              <w:t>Architectural Comparison of Recurrent Cells (LSTM vs. GRU)</w:t>
            </w:r>
          </w:p>
        </w:tc>
        <w:tc>
          <w:tcPr>
            <w:tcW w:type="dxa" w:w="1152"/>
            <w:tcMar>
              <w:top w:w="40" w:type="dxa"/>
              <w:bottom w:w="40" w:type="dxa"/>
              <w:left w:w="60" w:type="dxa"/>
              <w:right w:w="60" w:type="dxa"/>
            </w:tcMar>
          </w:tcPr>
          <w:p>
            <w:pPr>
              <w:jc w:val="right"/>
            </w:pPr>
            <w:r>
              <w:rPr>
                <w:rFonts w:ascii="Times New Roman" w:hAnsi="Times New Roman"/>
                <w:sz w:val="20"/>
              </w:rPr>
              <w:t>32</w:t>
            </w:r>
          </w:p>
        </w:tc>
      </w:tr>
      <w:tr>
        <w:tc>
          <w:tcPr>
            <w:tcW w:type="dxa" w:w="1728"/>
            <w:tcMar>
              <w:top w:w="40" w:type="dxa"/>
              <w:bottom w:w="40" w:type="dxa"/>
              <w:left w:w="60" w:type="dxa"/>
              <w:right w:w="60" w:type="dxa"/>
            </w:tcMar>
          </w:tcPr>
          <w:p>
            <w:r>
              <w:rPr>
                <w:rFonts w:ascii="Times New Roman" w:hAnsi="Times New Roman"/>
                <w:b/>
                <w:sz w:val="20"/>
              </w:rPr>
              <w:t>Figure 5.2</w:t>
            </w:r>
          </w:p>
        </w:tc>
        <w:tc>
          <w:tcPr>
            <w:tcW w:type="dxa" w:w="6192"/>
            <w:tcMar>
              <w:top w:w="40" w:type="dxa"/>
              <w:bottom w:w="40" w:type="dxa"/>
              <w:left w:w="60" w:type="dxa"/>
              <w:right w:w="60" w:type="dxa"/>
            </w:tcMar>
          </w:tcPr>
          <w:p>
            <w:r>
              <w:rPr>
                <w:rFonts w:ascii="Times New Roman" w:hAnsi="Times New Roman"/>
                <w:sz w:val="20"/>
              </w:rPr>
              <w:t>SHAP Additive Attribution Pipeline across Linear and Deep Models</w:t>
            </w:r>
          </w:p>
        </w:tc>
        <w:tc>
          <w:tcPr>
            <w:tcW w:type="dxa" w:w="1152"/>
            <w:tcMar>
              <w:top w:w="40" w:type="dxa"/>
              <w:bottom w:w="40" w:type="dxa"/>
              <w:left w:w="60" w:type="dxa"/>
              <w:right w:w="60" w:type="dxa"/>
            </w:tcMar>
          </w:tcPr>
          <w:p>
            <w:pPr>
              <w:jc w:val="right"/>
            </w:pPr>
            <w:r>
              <w:rPr>
                <w:rFonts w:ascii="Times New Roman" w:hAnsi="Times New Roman"/>
                <w:sz w:val="20"/>
              </w:rPr>
              <w:t>35</w:t>
            </w:r>
          </w:p>
        </w:tc>
      </w:tr>
      <w:tr>
        <w:tc>
          <w:tcPr>
            <w:tcW w:type="dxa" w:w="1728"/>
            <w:tcMar>
              <w:top w:w="40" w:type="dxa"/>
              <w:bottom w:w="40" w:type="dxa"/>
              <w:left w:w="60" w:type="dxa"/>
              <w:right w:w="60" w:type="dxa"/>
            </w:tcMar>
          </w:tcPr>
          <w:p>
            <w:r>
              <w:rPr>
                <w:rFonts w:ascii="Times New Roman" w:hAnsi="Times New Roman"/>
                <w:b/>
                <w:sz w:val="20"/>
              </w:rPr>
              <w:t>Figure 6.1</w:t>
            </w:r>
          </w:p>
        </w:tc>
        <w:tc>
          <w:tcPr>
            <w:tcW w:type="dxa" w:w="6192"/>
            <w:tcMar>
              <w:top w:w="40" w:type="dxa"/>
              <w:bottom w:w="40" w:type="dxa"/>
              <w:left w:w="60" w:type="dxa"/>
              <w:right w:w="60" w:type="dxa"/>
            </w:tcMar>
          </w:tcPr>
          <w:p>
            <w:r>
              <w:rPr>
                <w:rFonts w:ascii="Times New Roman" w:hAnsi="Times New Roman"/>
                <w:sz w:val="20"/>
              </w:rPr>
              <w:t>Four-Way Normalized Confusion Matrices (LR, SVM, LSTM, GRU)</w:t>
            </w:r>
          </w:p>
        </w:tc>
        <w:tc>
          <w:tcPr>
            <w:tcW w:type="dxa" w:w="1152"/>
            <w:tcMar>
              <w:top w:w="40" w:type="dxa"/>
              <w:bottom w:w="40" w:type="dxa"/>
              <w:left w:w="60" w:type="dxa"/>
              <w:right w:w="60" w:type="dxa"/>
            </w:tcMar>
          </w:tcPr>
          <w:p>
            <w:pPr>
              <w:jc w:val="right"/>
            </w:pPr>
            <w:r>
              <w:rPr>
                <w:rFonts w:ascii="Times New Roman" w:hAnsi="Times New Roman"/>
                <w:sz w:val="20"/>
              </w:rPr>
              <w:t>39</w:t>
            </w:r>
          </w:p>
        </w:tc>
      </w:tr>
      <w:tr>
        <w:tc>
          <w:tcPr>
            <w:tcW w:type="dxa" w:w="1728"/>
            <w:tcMar>
              <w:top w:w="40" w:type="dxa"/>
              <w:bottom w:w="40" w:type="dxa"/>
              <w:left w:w="60" w:type="dxa"/>
              <w:right w:w="60" w:type="dxa"/>
            </w:tcMar>
          </w:tcPr>
          <w:p>
            <w:r>
              <w:rPr>
                <w:rFonts w:ascii="Times New Roman" w:hAnsi="Times New Roman"/>
                <w:b/>
                <w:sz w:val="20"/>
              </w:rPr>
              <w:t>Figure 6.2</w:t>
            </w:r>
          </w:p>
        </w:tc>
        <w:tc>
          <w:tcPr>
            <w:tcW w:type="dxa" w:w="6192"/>
            <w:tcMar>
              <w:top w:w="40" w:type="dxa"/>
              <w:bottom w:w="40" w:type="dxa"/>
              <w:left w:w="60" w:type="dxa"/>
              <w:right w:w="60" w:type="dxa"/>
            </w:tcMar>
          </w:tcPr>
          <w:p>
            <w:r>
              <w:rPr>
                <w:rFonts w:ascii="Times New Roman" w:hAnsi="Times New Roman"/>
                <w:sz w:val="20"/>
              </w:rPr>
              <w:t>Comparative Receiver Operating Characteristic (ROC) Curves</w:t>
            </w:r>
          </w:p>
        </w:tc>
        <w:tc>
          <w:tcPr>
            <w:tcW w:type="dxa" w:w="1152"/>
            <w:tcMar>
              <w:top w:w="40" w:type="dxa"/>
              <w:bottom w:w="40" w:type="dxa"/>
              <w:left w:w="60" w:type="dxa"/>
              <w:right w:w="60" w:type="dxa"/>
            </w:tcMar>
          </w:tcPr>
          <w:p>
            <w:pPr>
              <w:jc w:val="right"/>
            </w:pPr>
            <w:r>
              <w:rPr>
                <w:rFonts w:ascii="Times New Roman" w:hAnsi="Times New Roman"/>
                <w:sz w:val="20"/>
              </w:rPr>
              <w:t>40</w:t>
            </w:r>
          </w:p>
        </w:tc>
      </w:tr>
      <w:tr>
        <w:tc>
          <w:tcPr>
            <w:tcW w:type="dxa" w:w="1728"/>
            <w:tcMar>
              <w:top w:w="40" w:type="dxa"/>
              <w:bottom w:w="40" w:type="dxa"/>
              <w:left w:w="60" w:type="dxa"/>
              <w:right w:w="60" w:type="dxa"/>
            </w:tcMar>
          </w:tcPr>
          <w:p>
            <w:r>
              <w:rPr>
                <w:rFonts w:ascii="Times New Roman" w:hAnsi="Times New Roman"/>
                <w:b/>
                <w:sz w:val="20"/>
              </w:rPr>
              <w:t>Figure 6.3</w:t>
            </w:r>
          </w:p>
        </w:tc>
        <w:tc>
          <w:tcPr>
            <w:tcW w:type="dxa" w:w="6192"/>
            <w:tcMar>
              <w:top w:w="40" w:type="dxa"/>
              <w:bottom w:w="40" w:type="dxa"/>
              <w:left w:w="60" w:type="dxa"/>
              <w:right w:w="60" w:type="dxa"/>
            </w:tcMar>
          </w:tcPr>
          <w:p>
            <w:r>
              <w:rPr>
                <w:rFonts w:ascii="Times New Roman" w:hAnsi="Times New Roman"/>
                <w:sz w:val="20"/>
              </w:rPr>
              <w:t>Live Amazon Product Page Granular Audit &amp; Deceptive Cue Flagging</w:t>
            </w:r>
          </w:p>
        </w:tc>
        <w:tc>
          <w:tcPr>
            <w:tcW w:type="dxa" w:w="1152"/>
            <w:tcMar>
              <w:top w:w="40" w:type="dxa"/>
              <w:bottom w:w="40" w:type="dxa"/>
              <w:left w:w="60" w:type="dxa"/>
              <w:right w:w="60" w:type="dxa"/>
            </w:tcMar>
          </w:tcPr>
          <w:p>
            <w:pPr>
              <w:jc w:val="right"/>
            </w:pPr>
            <w:r>
              <w:rPr>
                <w:rFonts w:ascii="Times New Roman" w:hAnsi="Times New Roman"/>
                <w:sz w:val="20"/>
              </w:rPr>
              <w:t>42</w:t>
            </w:r>
          </w:p>
        </w:tc>
      </w:tr>
      <w:tr>
        <w:tc>
          <w:tcPr>
            <w:tcW w:type="dxa" w:w="1728"/>
            <w:tcMar>
              <w:top w:w="40" w:type="dxa"/>
              <w:bottom w:w="40" w:type="dxa"/>
              <w:left w:w="60" w:type="dxa"/>
              <w:right w:w="60" w:type="dxa"/>
            </w:tcMar>
          </w:tcPr>
          <w:p>
            <w:r>
              <w:rPr>
                <w:rFonts w:ascii="Times New Roman" w:hAnsi="Times New Roman"/>
                <w:b/>
                <w:sz w:val="20"/>
              </w:rPr>
              <w:t>Figure 7.1</w:t>
            </w:r>
          </w:p>
        </w:tc>
        <w:tc>
          <w:tcPr>
            <w:tcW w:type="dxa" w:w="6192"/>
            <w:tcMar>
              <w:top w:w="40" w:type="dxa"/>
              <w:bottom w:w="40" w:type="dxa"/>
              <w:left w:w="60" w:type="dxa"/>
              <w:right w:w="60" w:type="dxa"/>
            </w:tcMar>
          </w:tcPr>
          <w:p>
            <w:r>
              <w:rPr>
                <w:rFonts w:ascii="Times New Roman" w:hAnsi="Times New Roman"/>
                <w:sz w:val="20"/>
              </w:rPr>
              <w:t>DarkShield AI Sentinel Amber Web Dashboard Interface</w:t>
            </w:r>
          </w:p>
        </w:tc>
        <w:tc>
          <w:tcPr>
            <w:tcW w:type="dxa" w:w="1152"/>
            <w:tcMar>
              <w:top w:w="40" w:type="dxa"/>
              <w:bottom w:w="40" w:type="dxa"/>
              <w:left w:w="60" w:type="dxa"/>
              <w:right w:w="60" w:type="dxa"/>
            </w:tcMar>
          </w:tcPr>
          <w:p>
            <w:pPr>
              <w:jc w:val="right"/>
            </w:pPr>
            <w:r>
              <w:rPr>
                <w:rFonts w:ascii="Times New Roman" w:hAnsi="Times New Roman"/>
                <w:sz w:val="20"/>
              </w:rPr>
              <w:t>47</w:t>
            </w:r>
          </w:p>
        </w:tc>
      </w:tr>
      <w:tr>
        <w:tc>
          <w:tcPr>
            <w:tcW w:type="dxa" w:w="1728"/>
            <w:tcMar>
              <w:top w:w="40" w:type="dxa"/>
              <w:bottom w:w="40" w:type="dxa"/>
              <w:left w:w="60" w:type="dxa"/>
              <w:right w:w="60" w:type="dxa"/>
            </w:tcMar>
          </w:tcPr>
          <w:p>
            <w:r>
              <w:rPr>
                <w:rFonts w:ascii="Times New Roman" w:hAnsi="Times New Roman"/>
                <w:b/>
                <w:sz w:val="20"/>
              </w:rPr>
              <w:t>Figure 7.2</w:t>
            </w:r>
          </w:p>
        </w:tc>
        <w:tc>
          <w:tcPr>
            <w:tcW w:type="dxa" w:w="6192"/>
            <w:tcMar>
              <w:top w:w="40" w:type="dxa"/>
              <w:bottom w:w="40" w:type="dxa"/>
              <w:left w:w="60" w:type="dxa"/>
              <w:right w:w="60" w:type="dxa"/>
            </w:tcMar>
          </w:tcPr>
          <w:p>
            <w:r>
              <w:rPr>
                <w:rFonts w:ascii="Times New Roman" w:hAnsi="Times New Roman"/>
                <w:sz w:val="20"/>
              </w:rPr>
              <w:t>Manifest V3 In-Page Dark Pattern Overlay and DOM Highlighting</w:t>
            </w:r>
          </w:p>
        </w:tc>
        <w:tc>
          <w:tcPr>
            <w:tcW w:type="dxa" w:w="1152"/>
            <w:tcMar>
              <w:top w:w="40" w:type="dxa"/>
              <w:bottom w:w="40" w:type="dxa"/>
              <w:left w:w="60" w:type="dxa"/>
              <w:right w:w="60" w:type="dxa"/>
            </w:tcMar>
          </w:tcPr>
          <w:p>
            <w:pPr>
              <w:jc w:val="right"/>
            </w:pPr>
            <w:r>
              <w:rPr>
                <w:rFonts w:ascii="Times New Roman" w:hAnsi="Times New Roman"/>
                <w:sz w:val="20"/>
              </w:rPr>
              <w:t>49</w:t>
            </w:r>
          </w:p>
        </w:tc>
      </w:tr>
    </w:tbl>
    <w:p>
      <w:pPr>
        <w:spacing w:after="400"/>
      </w:pPr>
    </w:p>
    <w:p>
      <w:pPr>
        <w:spacing w:before="200" w:after="240"/>
        <w:jc w:val="center"/>
      </w:pPr>
      <w:r>
        <w:rPr>
          <w:rFonts w:ascii="Times New Roman" w:hAnsi="Times New Roman"/>
          <w:b/>
          <w:color w:val="1B365D"/>
          <w:sz w:val="30"/>
        </w:rPr>
        <w:t>LIST OF TABLES</w:t>
      </w:r>
    </w:p>
    <w:tbl>
      <w:tblPr>
        <w:tblW w:type="auto" w:w="0"/>
        <w:jc w:val="center"/>
        <w:tblLook w:firstColumn="1" w:firstRow="1" w:lastColumn="0" w:lastRow="0" w:noHBand="0" w:noVBand="1" w:val="04A0"/>
        <w:tblBorders>
          <w:top w:val="single" w:sz="6" w:space="0" w:color="CCCCCC"/>
          <w:bottom w:val="single" w:sz="8" w:space="0" w:color="1B365D"/>
          <w:left w:val="none"/>
          <w:right w:val="none"/>
          <w:insideH w:val="single" w:sz="4" w:space="0" w:color="E0E0E0"/>
          <w:insideV w:val="none"/>
        </w:tblBorders>
      </w:tblPr>
      <w:tblGrid>
        <w:gridCol w:w="3000"/>
        <w:gridCol w:w="3000"/>
        <w:gridCol w:w="3000"/>
      </w:tblGrid>
      <w:tr>
        <w:tc>
          <w:tcPr>
            <w:tcW w:type="dxa" w:w="1728"/>
            <w:tcMar>
              <w:top w:w="40" w:type="dxa"/>
              <w:bottom w:w="40" w:type="dxa"/>
              <w:left w:w="60" w:type="dxa"/>
              <w:right w:w="60" w:type="dxa"/>
            </w:tcMar>
          </w:tcPr>
          <w:p>
            <w:r>
              <w:rPr>
                <w:rFonts w:ascii="Times New Roman" w:hAnsi="Times New Roman"/>
                <w:b/>
                <w:sz w:val="20"/>
              </w:rPr>
              <w:t>Table 1.1</w:t>
            </w:r>
          </w:p>
        </w:tc>
        <w:tc>
          <w:tcPr>
            <w:tcW w:type="dxa" w:w="6192"/>
            <w:tcMar>
              <w:top w:w="40" w:type="dxa"/>
              <w:bottom w:w="40" w:type="dxa"/>
              <w:left w:w="60" w:type="dxa"/>
              <w:right w:w="60" w:type="dxa"/>
            </w:tcMar>
          </w:tcPr>
          <w:p>
            <w:r>
              <w:rPr>
                <w:rFonts w:ascii="Times New Roman" w:hAnsi="Times New Roman"/>
                <w:sz w:val="20"/>
              </w:rPr>
              <w:t>Dark Pattern Categories, UI Manifestations, and Consumer Harms</w:t>
            </w:r>
          </w:p>
        </w:tc>
        <w:tc>
          <w:tcPr>
            <w:tcW w:type="dxa" w:w="1152"/>
            <w:tcMar>
              <w:top w:w="40" w:type="dxa"/>
              <w:bottom w:w="40" w:type="dxa"/>
              <w:left w:w="60" w:type="dxa"/>
              <w:right w:w="60" w:type="dxa"/>
            </w:tcMar>
          </w:tcPr>
          <w:p>
            <w:pPr>
              <w:jc w:val="right"/>
            </w:pPr>
            <w:r>
              <w:rPr>
                <w:rFonts w:ascii="Times New Roman" w:hAnsi="Times New Roman"/>
                <w:sz w:val="20"/>
              </w:rPr>
              <w:t>3</w:t>
            </w:r>
          </w:p>
        </w:tc>
      </w:tr>
      <w:tr>
        <w:tc>
          <w:tcPr>
            <w:tcW w:type="dxa" w:w="1728"/>
            <w:tcMar>
              <w:top w:w="40" w:type="dxa"/>
              <w:bottom w:w="40" w:type="dxa"/>
              <w:left w:w="60" w:type="dxa"/>
              <w:right w:w="60" w:type="dxa"/>
            </w:tcMar>
          </w:tcPr>
          <w:p>
            <w:r>
              <w:rPr>
                <w:rFonts w:ascii="Times New Roman" w:hAnsi="Times New Roman"/>
                <w:b/>
                <w:sz w:val="20"/>
              </w:rPr>
              <w:t>Table 4.1</w:t>
            </w:r>
          </w:p>
        </w:tc>
        <w:tc>
          <w:tcPr>
            <w:tcW w:type="dxa" w:w="6192"/>
            <w:tcMar>
              <w:top w:w="40" w:type="dxa"/>
              <w:bottom w:w="40" w:type="dxa"/>
              <w:left w:w="60" w:type="dxa"/>
              <w:right w:w="60" w:type="dxa"/>
            </w:tcMar>
          </w:tcPr>
          <w:p>
            <w:r>
              <w:rPr>
                <w:rFonts w:ascii="Times New Roman" w:hAnsi="Times New Roman"/>
                <w:sz w:val="20"/>
              </w:rPr>
              <w:t>Dataset Schema, Attributes, and Stratified Partition Statistics</w:t>
            </w:r>
          </w:p>
        </w:tc>
        <w:tc>
          <w:tcPr>
            <w:tcW w:type="dxa" w:w="1152"/>
            <w:tcMar>
              <w:top w:w="40" w:type="dxa"/>
              <w:bottom w:w="40" w:type="dxa"/>
              <w:left w:w="60" w:type="dxa"/>
              <w:right w:w="60" w:type="dxa"/>
            </w:tcMar>
          </w:tcPr>
          <w:p>
            <w:pPr>
              <w:jc w:val="right"/>
            </w:pPr>
            <w:r>
              <w:rPr>
                <w:rFonts w:ascii="Times New Roman" w:hAnsi="Times New Roman"/>
                <w:sz w:val="20"/>
              </w:rPr>
              <w:t>24</w:t>
            </w:r>
          </w:p>
        </w:tc>
      </w:tr>
      <w:tr>
        <w:tc>
          <w:tcPr>
            <w:tcW w:type="dxa" w:w="1728"/>
            <w:tcMar>
              <w:top w:w="40" w:type="dxa"/>
              <w:bottom w:w="40" w:type="dxa"/>
              <w:left w:w="60" w:type="dxa"/>
              <w:right w:w="60" w:type="dxa"/>
            </w:tcMar>
          </w:tcPr>
          <w:p>
            <w:r>
              <w:rPr>
                <w:rFonts w:ascii="Times New Roman" w:hAnsi="Times New Roman"/>
                <w:b/>
                <w:sz w:val="20"/>
              </w:rPr>
              <w:t>Table 5.1</w:t>
            </w:r>
          </w:p>
        </w:tc>
        <w:tc>
          <w:tcPr>
            <w:tcW w:type="dxa" w:w="6192"/>
            <w:tcMar>
              <w:top w:w="40" w:type="dxa"/>
              <w:bottom w:w="40" w:type="dxa"/>
              <w:left w:w="60" w:type="dxa"/>
              <w:right w:w="60" w:type="dxa"/>
            </w:tcMar>
          </w:tcPr>
          <w:p>
            <w:r>
              <w:rPr>
                <w:rFonts w:ascii="Times New Roman" w:hAnsi="Times New Roman"/>
                <w:sz w:val="20"/>
              </w:rPr>
              <w:t>Hyperparameter Search Space and Optimal Configuration Grid</w:t>
            </w:r>
          </w:p>
        </w:tc>
        <w:tc>
          <w:tcPr>
            <w:tcW w:type="dxa" w:w="1152"/>
            <w:tcMar>
              <w:top w:w="40" w:type="dxa"/>
              <w:bottom w:w="40" w:type="dxa"/>
              <w:left w:w="60" w:type="dxa"/>
              <w:right w:w="60" w:type="dxa"/>
            </w:tcMar>
          </w:tcPr>
          <w:p>
            <w:pPr>
              <w:jc w:val="right"/>
            </w:pPr>
            <w:r>
              <w:rPr>
                <w:rFonts w:ascii="Times New Roman" w:hAnsi="Times New Roman"/>
                <w:sz w:val="20"/>
              </w:rPr>
              <w:t>29</w:t>
            </w:r>
          </w:p>
        </w:tc>
      </w:tr>
      <w:tr>
        <w:tc>
          <w:tcPr>
            <w:tcW w:type="dxa" w:w="1728"/>
            <w:tcMar>
              <w:top w:w="40" w:type="dxa"/>
              <w:bottom w:w="40" w:type="dxa"/>
              <w:left w:w="60" w:type="dxa"/>
              <w:right w:w="60" w:type="dxa"/>
            </w:tcMar>
          </w:tcPr>
          <w:p>
            <w:r>
              <w:rPr>
                <w:rFonts w:ascii="Times New Roman" w:hAnsi="Times New Roman"/>
                <w:b/>
                <w:sz w:val="20"/>
              </w:rPr>
              <w:t>Table 6.1</w:t>
            </w:r>
          </w:p>
        </w:tc>
        <w:tc>
          <w:tcPr>
            <w:tcW w:type="dxa" w:w="6192"/>
            <w:tcMar>
              <w:top w:w="40" w:type="dxa"/>
              <w:bottom w:w="40" w:type="dxa"/>
              <w:left w:w="60" w:type="dxa"/>
              <w:right w:w="60" w:type="dxa"/>
            </w:tcMar>
          </w:tcPr>
          <w:p>
            <w:r>
              <w:rPr>
                <w:rFonts w:ascii="Times New Roman" w:hAnsi="Times New Roman"/>
                <w:sz w:val="20"/>
              </w:rPr>
              <w:t>Comprehensive Performance Evaluation Metrics across Four Classifiers</w:t>
            </w:r>
          </w:p>
        </w:tc>
        <w:tc>
          <w:tcPr>
            <w:tcW w:type="dxa" w:w="1152"/>
            <w:tcMar>
              <w:top w:w="40" w:type="dxa"/>
              <w:bottom w:w="40" w:type="dxa"/>
              <w:left w:w="60" w:type="dxa"/>
              <w:right w:w="60" w:type="dxa"/>
            </w:tcMar>
          </w:tcPr>
          <w:p>
            <w:pPr>
              <w:jc w:val="right"/>
            </w:pPr>
            <w:r>
              <w:rPr>
                <w:rFonts w:ascii="Times New Roman" w:hAnsi="Times New Roman"/>
                <w:sz w:val="20"/>
              </w:rPr>
              <w:t>38</w:t>
            </w:r>
          </w:p>
        </w:tc>
      </w:tr>
      <w:tr>
        <w:tc>
          <w:tcPr>
            <w:tcW w:type="dxa" w:w="1728"/>
            <w:tcMar>
              <w:top w:w="40" w:type="dxa"/>
              <w:bottom w:w="40" w:type="dxa"/>
              <w:left w:w="60" w:type="dxa"/>
              <w:right w:w="60" w:type="dxa"/>
            </w:tcMar>
          </w:tcPr>
          <w:p>
            <w:r>
              <w:rPr>
                <w:rFonts w:ascii="Times New Roman" w:hAnsi="Times New Roman"/>
                <w:b/>
                <w:sz w:val="20"/>
              </w:rPr>
              <w:t>Table 6.2</w:t>
            </w:r>
          </w:p>
        </w:tc>
        <w:tc>
          <w:tcPr>
            <w:tcW w:type="dxa" w:w="6192"/>
            <w:tcMar>
              <w:top w:w="40" w:type="dxa"/>
              <w:bottom w:w="40" w:type="dxa"/>
              <w:left w:w="60" w:type="dxa"/>
              <w:right w:w="60" w:type="dxa"/>
            </w:tcMar>
          </w:tcPr>
          <w:p>
            <w:r>
              <w:rPr>
                <w:rFonts w:ascii="Times New Roman" w:hAnsi="Times New Roman"/>
                <w:sz w:val="20"/>
              </w:rPr>
              <w:t>Validation Loss Progression across 15 Training Epochs for LSTM and GRU</w:t>
            </w:r>
          </w:p>
        </w:tc>
        <w:tc>
          <w:tcPr>
            <w:tcW w:type="dxa" w:w="1152"/>
            <w:tcMar>
              <w:top w:w="40" w:type="dxa"/>
              <w:bottom w:w="40" w:type="dxa"/>
              <w:left w:w="60" w:type="dxa"/>
              <w:right w:w="60" w:type="dxa"/>
            </w:tcMar>
          </w:tcPr>
          <w:p>
            <w:pPr>
              <w:jc w:val="right"/>
            </w:pPr>
            <w:r>
              <w:rPr>
                <w:rFonts w:ascii="Times New Roman" w:hAnsi="Times New Roman"/>
                <w:sz w:val="20"/>
              </w:rPr>
              <w:t>41</w:t>
            </w:r>
          </w:p>
        </w:tc>
      </w:tr>
      <w:tr>
        <w:tc>
          <w:tcPr>
            <w:tcW w:type="dxa" w:w="1728"/>
            <w:tcMar>
              <w:top w:w="40" w:type="dxa"/>
              <w:bottom w:w="40" w:type="dxa"/>
              <w:left w:w="60" w:type="dxa"/>
              <w:right w:w="60" w:type="dxa"/>
            </w:tcMar>
          </w:tcPr>
          <w:p>
            <w:r>
              <w:rPr>
                <w:rFonts w:ascii="Times New Roman" w:hAnsi="Times New Roman"/>
                <w:b/>
                <w:sz w:val="20"/>
              </w:rPr>
              <w:t>Table 6.3</w:t>
            </w:r>
          </w:p>
        </w:tc>
        <w:tc>
          <w:tcPr>
            <w:tcW w:type="dxa" w:w="6192"/>
            <w:tcMar>
              <w:top w:w="40" w:type="dxa"/>
              <w:bottom w:w="40" w:type="dxa"/>
              <w:left w:w="60" w:type="dxa"/>
              <w:right w:w="60" w:type="dxa"/>
            </w:tcMar>
          </w:tcPr>
          <w:p>
            <w:r>
              <w:rPr>
                <w:rFonts w:ascii="Times New Roman" w:hAnsi="Times New Roman"/>
                <w:sz w:val="20"/>
              </w:rPr>
              <w:t>Live Real-World Website Auditing Benchmark Results</w:t>
            </w:r>
          </w:p>
        </w:tc>
        <w:tc>
          <w:tcPr>
            <w:tcW w:type="dxa" w:w="1152"/>
            <w:tcMar>
              <w:top w:w="40" w:type="dxa"/>
              <w:bottom w:w="40" w:type="dxa"/>
              <w:left w:w="60" w:type="dxa"/>
              <w:right w:w="60" w:type="dxa"/>
            </w:tcMar>
          </w:tcPr>
          <w:p>
            <w:pPr>
              <w:jc w:val="right"/>
            </w:pPr>
            <w:r>
              <w:rPr>
                <w:rFonts w:ascii="Times New Roman" w:hAnsi="Times New Roman"/>
                <w:sz w:val="20"/>
              </w:rPr>
              <w:t>43</w:t>
            </w:r>
          </w:p>
        </w:tc>
      </w:tr>
      <w:tr>
        <w:tc>
          <w:tcPr>
            <w:tcW w:type="dxa" w:w="1728"/>
            <w:tcMar>
              <w:top w:w="40" w:type="dxa"/>
              <w:bottom w:w="40" w:type="dxa"/>
              <w:left w:w="60" w:type="dxa"/>
              <w:right w:w="60" w:type="dxa"/>
            </w:tcMar>
          </w:tcPr>
          <w:p>
            <w:r>
              <w:rPr>
                <w:rFonts w:ascii="Times New Roman" w:hAnsi="Times New Roman"/>
                <w:b/>
                <w:sz w:val="20"/>
              </w:rPr>
              <w:t>Table 7.1</w:t>
            </w:r>
          </w:p>
        </w:tc>
        <w:tc>
          <w:tcPr>
            <w:tcW w:type="dxa" w:w="6192"/>
            <w:tcMar>
              <w:top w:w="40" w:type="dxa"/>
              <w:bottom w:w="40" w:type="dxa"/>
              <w:left w:w="60" w:type="dxa"/>
              <w:right w:w="60" w:type="dxa"/>
            </w:tcMar>
          </w:tcPr>
          <w:p>
            <w:r>
              <w:rPr>
                <w:rFonts w:ascii="Times New Roman" w:hAnsi="Times New Roman"/>
                <w:sz w:val="20"/>
              </w:rPr>
              <w:t>FastAPI Core REST API Endpoints and Specification</w:t>
            </w:r>
          </w:p>
        </w:tc>
        <w:tc>
          <w:tcPr>
            <w:tcW w:type="dxa" w:w="1152"/>
            <w:tcMar>
              <w:top w:w="40" w:type="dxa"/>
              <w:bottom w:w="40" w:type="dxa"/>
              <w:left w:w="60" w:type="dxa"/>
              <w:right w:w="60" w:type="dxa"/>
            </w:tcMar>
          </w:tcPr>
          <w:p>
            <w:pPr>
              <w:jc w:val="right"/>
            </w:pPr>
            <w:r>
              <w:rPr>
                <w:rFonts w:ascii="Times New Roman" w:hAnsi="Times New Roman"/>
                <w:sz w:val="20"/>
              </w:rPr>
              <w:t>45</w:t>
            </w:r>
          </w:p>
        </w:tc>
      </w:tr>
    </w:tbl>
    <w:p>
      <w:r>
        <w:br w:type="page"/>
      </w:r>
    </w:p>
    <w:p>
      <w:pPr>
        <w:keepNext/>
        <w:spacing w:before="400" w:after="160"/>
      </w:pPr>
      <w:r>
        <w:rPr>
          <w:rFonts w:ascii="Times New Roman" w:hAnsi="Times New Roman"/>
          <w:b/>
          <w:color w:val="1B365D"/>
          <w:sz w:val="30"/>
        </w:rPr>
        <w:t>CHAPTER 1</w:t>
      </w:r>
    </w:p>
    <w:p>
      <w:pPr>
        <w:keepNext/>
        <w:spacing w:before="280" w:after="120"/>
      </w:pPr>
      <w:r>
        <w:rPr>
          <w:rFonts w:ascii="Times New Roman" w:hAnsi="Times New Roman"/>
          <w:b/>
          <w:color w:val="29528A"/>
          <w:sz w:val="26"/>
        </w:rPr>
        <w:t>INTRODUCTION &amp; PROBLEM FORMULATION</w:t>
      </w:r>
    </w:p>
    <w:p>
      <w:pPr>
        <w:keepNext/>
        <w:spacing w:before="200" w:after="80"/>
      </w:pPr>
      <w:r>
        <w:rPr>
          <w:rFonts w:ascii="Times New Roman" w:hAnsi="Times New Roman"/>
          <w:b/>
          <w:i/>
          <w:color w:val="323232"/>
          <w:sz w:val="24"/>
        </w:rPr>
        <w:t>1.1 Background and Problem Context</w:t>
      </w:r>
    </w:p>
    <w:p>
      <w:pPr>
        <w:spacing w:line="300" w:lineRule="auto" w:after="120"/>
        <w:jc w:val="both"/>
      </w:pPr>
      <w:r>
        <w:rPr>
          <w:rFonts w:ascii="Times New Roman" w:hAnsi="Times New Roman"/>
          <w:color w:val="1E1E1E"/>
          <w:sz w:val="24"/>
        </w:rPr>
        <w:t>The exponential expansion of digital commerce has fundamentally transformed global consumption patterns. Millions of consumers conduct transactions daily across online retail marketplaces, digital service subscription portals, travel reservation aggregators, and fintech applications. In this intensely competitive hyper-digital environment, user interface (UI) and user experience (UX) designs wield unprecedented psychological influence over user decision-making processes.</w:t>
      </w:r>
    </w:p>
    <w:p>
      <w:pPr>
        <w:spacing w:line="300" w:lineRule="auto" w:after="120"/>
        <w:jc w:val="both"/>
      </w:pPr>
      <w:r>
        <w:rPr>
          <w:rFonts w:ascii="Times New Roman" w:hAnsi="Times New Roman"/>
          <w:color w:val="1E1E1E"/>
          <w:sz w:val="24"/>
        </w:rPr>
        <w:t>While user experience engineering is ostensibly intended to minimize cognitive friction and facilitate seamless navigation, e-commerce designers frequently deploy asymmetric, deceptive design architectures known as 'Dark Patterns'. First formally coined by human-computer interaction specialist Harry Brignull in 2010, dark patterns represent deliberate UI designs crafted to manipulate, coerce, or trick users into taking actions contrary to their autonomous intent—such as purchasing unrequested add-ons, relinquishing private personal data, or committing to recurring subscription contracts.</w:t>
      </w:r>
    </w:p>
    <w:p>
      <w:pPr>
        <w:keepNext/>
        <w:spacing w:before="200" w:after="80"/>
      </w:pPr>
      <w:r>
        <w:rPr>
          <w:rFonts w:ascii="Times New Roman" w:hAnsi="Times New Roman"/>
          <w:b/>
          <w:i/>
          <w:color w:val="323232"/>
          <w:sz w:val="24"/>
        </w:rPr>
        <w:t>1.2 Taxonomy and Modalities of Dark Patterns</w:t>
      </w:r>
    </w:p>
    <w:p>
      <w:pPr>
        <w:spacing w:line="300" w:lineRule="auto" w:after="120"/>
        <w:jc w:val="both"/>
      </w:pPr>
      <w:r>
        <w:rPr>
          <w:rFonts w:ascii="Times New Roman" w:hAnsi="Times New Roman"/>
          <w:color w:val="1E1E1E"/>
          <w:sz w:val="24"/>
        </w:rPr>
        <w:t>Academic and regulatory consensus classifies deceptive interfaces into several recurrent taxonomic categories, as formalized in Table 1.1:</w:t>
      </w:r>
    </w:p>
    <w:tbl>
      <w:tblPr>
        <w:tblW w:type="auto" w:w="0"/>
        <w:jc w:val="center"/>
        <w:tblLook w:firstColumn="1" w:firstRow="1" w:lastColumn="0" w:lastRow="0" w:noHBand="0" w:noVBand="1" w:val="04A0"/>
        <w:tblBorders>
          <w:top w:val="single" w:sz="6" w:space="0" w:color="CCCCCC"/>
          <w:bottom w:val="single" w:sz="8" w:space="0" w:color="1B365D"/>
          <w:left w:val="none"/>
          <w:right w:val="none"/>
          <w:insideH w:val="single" w:sz="4" w:space="0" w:color="E0E0E0"/>
          <w:insideV w:val="none"/>
        </w:tblBorders>
      </w:tblPr>
      <w:tblGrid>
        <w:gridCol w:w="3000"/>
        <w:gridCol w:w="3000"/>
        <w:gridCol w:w="3000"/>
      </w:tblGrid>
      <w:tr>
        <w:tc>
          <w:tcPr>
            <w:tcW w:type="dxa" w:w="2160"/>
            <w:shd w:fill="1B365D"/>
            <w:tcMar>
              <w:top w:w="60" w:type="dxa"/>
              <w:bottom w:w="60" w:type="dxa"/>
              <w:left w:w="80" w:type="dxa"/>
              <w:right w:w="80" w:type="dxa"/>
            </w:tcMar>
          </w:tcPr>
          <w:p>
            <w:pPr>
              <w:spacing w:before="80" w:after="80"/>
            </w:pPr>
            <w:r>
              <w:rPr>
                <w:rFonts w:ascii="Times New Roman" w:hAnsi="Times New Roman"/>
                <w:b/>
                <w:color w:val="FFFFFF"/>
                <w:sz w:val="20"/>
              </w:rPr>
              <w:t>Dark Pattern Category</w:t>
            </w:r>
          </w:p>
        </w:tc>
        <w:tc>
          <w:tcPr>
            <w:tcW w:type="dxa" w:w="3600"/>
            <w:shd w:fill="1B365D"/>
            <w:tcMar>
              <w:top w:w="60" w:type="dxa"/>
              <w:bottom w:w="60" w:type="dxa"/>
              <w:left w:w="80" w:type="dxa"/>
              <w:right w:w="80" w:type="dxa"/>
            </w:tcMar>
          </w:tcPr>
          <w:p>
            <w:pPr>
              <w:spacing w:before="80" w:after="80"/>
            </w:pPr>
            <w:r>
              <w:rPr>
                <w:rFonts w:ascii="Times New Roman" w:hAnsi="Times New Roman"/>
                <w:b/>
                <w:color w:val="FFFFFF"/>
                <w:sz w:val="20"/>
              </w:rPr>
              <w:t>E-Commerce User Interface Manifestation</w:t>
            </w:r>
          </w:p>
        </w:tc>
        <w:tc>
          <w:tcPr>
            <w:tcW w:type="dxa" w:w="3168"/>
            <w:shd w:fill="1B365D"/>
            <w:tcMar>
              <w:top w:w="60" w:type="dxa"/>
              <w:bottom w:w="60" w:type="dxa"/>
              <w:left w:w="80" w:type="dxa"/>
              <w:right w:w="80" w:type="dxa"/>
            </w:tcMar>
          </w:tcPr>
          <w:p>
            <w:pPr>
              <w:spacing w:before="80" w:after="80"/>
            </w:pPr>
            <w:r>
              <w:rPr>
                <w:rFonts w:ascii="Times New Roman" w:hAnsi="Times New Roman"/>
                <w:b/>
                <w:color w:val="FFFFFF"/>
                <w:sz w:val="20"/>
              </w:rPr>
              <w:t>Consumer Harm &amp; Cognitive Distortion</w:t>
            </w:r>
          </w:p>
        </w:tc>
      </w:tr>
      <w:tr>
        <w:tc>
          <w:tcPr>
            <w:tcW w:type="dxa" w:w="2160"/>
            <w:shd w:fill="F9FAFC"/>
            <w:tcMar>
              <w:top w:w="60" w:type="dxa"/>
              <w:bottom w:w="60" w:type="dxa"/>
              <w:left w:w="80" w:type="dxa"/>
              <w:right w:w="80" w:type="dxa"/>
            </w:tcMar>
          </w:tcPr>
          <w:p>
            <w:pPr>
              <w:spacing w:before="80" w:after="80"/>
            </w:pPr>
            <w:r>
              <w:rPr>
                <w:rFonts w:ascii="Times New Roman" w:hAnsi="Times New Roman"/>
                <w:sz w:val="19"/>
              </w:rPr>
              <w:t>False Urgency</w:t>
            </w:r>
          </w:p>
        </w:tc>
        <w:tc>
          <w:tcPr>
            <w:tcW w:type="dxa" w:w="3600"/>
            <w:shd w:fill="F9FAFC"/>
            <w:tcMar>
              <w:top w:w="60" w:type="dxa"/>
              <w:bottom w:w="60" w:type="dxa"/>
              <w:left w:w="80" w:type="dxa"/>
              <w:right w:w="80" w:type="dxa"/>
            </w:tcMar>
          </w:tcPr>
          <w:p>
            <w:pPr>
              <w:spacing w:before="80" w:after="80"/>
            </w:pPr>
            <w:r>
              <w:rPr>
                <w:rFonts w:ascii="Times New Roman" w:hAnsi="Times New Roman"/>
                <w:sz w:val="19"/>
              </w:rPr>
              <w:t>Countdown timers, 'Sale ends in 02:14!', blinking red badges.</w:t>
            </w:r>
          </w:p>
        </w:tc>
        <w:tc>
          <w:tcPr>
            <w:tcW w:type="dxa" w:w="3168"/>
            <w:shd w:fill="F9FAFC"/>
            <w:tcMar>
              <w:top w:w="60" w:type="dxa"/>
              <w:bottom w:w="60" w:type="dxa"/>
              <w:left w:w="80" w:type="dxa"/>
              <w:right w:w="80" w:type="dxa"/>
            </w:tcMar>
          </w:tcPr>
          <w:p>
            <w:pPr>
              <w:spacing w:before="80" w:after="80"/>
            </w:pPr>
            <w:r>
              <w:rPr>
                <w:rFonts w:ascii="Times New Roman" w:hAnsi="Times New Roman"/>
                <w:sz w:val="19"/>
              </w:rPr>
              <w:t>Fabricates irrational time pressure, triggering FOMO and impulse purchases.</w:t>
            </w:r>
          </w:p>
        </w:tc>
      </w:tr>
      <w:tr>
        <w:tc>
          <w:tcPr>
            <w:tcW w:type="dxa" w:w="2160"/>
            <w:tcMar>
              <w:top w:w="60" w:type="dxa"/>
              <w:bottom w:w="60" w:type="dxa"/>
              <w:left w:w="80" w:type="dxa"/>
              <w:right w:w="80" w:type="dxa"/>
            </w:tcMar>
          </w:tcPr>
          <w:p>
            <w:pPr>
              <w:spacing w:before="80" w:after="80"/>
            </w:pPr>
            <w:r>
              <w:rPr>
                <w:rFonts w:ascii="Times New Roman" w:hAnsi="Times New Roman"/>
                <w:sz w:val="19"/>
              </w:rPr>
              <w:t>Manufactured Scarcity</w:t>
            </w:r>
          </w:p>
        </w:tc>
        <w:tc>
          <w:tcPr>
            <w:tcW w:type="dxa" w:w="3600"/>
            <w:tcMar>
              <w:top w:w="60" w:type="dxa"/>
              <w:bottom w:w="60" w:type="dxa"/>
              <w:left w:w="80" w:type="dxa"/>
              <w:right w:w="80" w:type="dxa"/>
            </w:tcMar>
          </w:tcPr>
          <w:p>
            <w:pPr>
              <w:spacing w:before="80" w:after="80"/>
            </w:pPr>
            <w:r>
              <w:rPr>
                <w:rFonts w:ascii="Times New Roman" w:hAnsi="Times New Roman"/>
                <w:sz w:val="19"/>
              </w:rPr>
              <w:t>'Only 1 left in stock!', 'High demand: 18 viewed now'.</w:t>
            </w:r>
          </w:p>
        </w:tc>
        <w:tc>
          <w:tcPr>
            <w:tcW w:type="dxa" w:w="3168"/>
            <w:tcMar>
              <w:top w:w="60" w:type="dxa"/>
              <w:bottom w:w="60" w:type="dxa"/>
              <w:left w:w="80" w:type="dxa"/>
              <w:right w:w="80" w:type="dxa"/>
            </w:tcMar>
          </w:tcPr>
          <w:p>
            <w:pPr>
              <w:spacing w:before="80" w:after="80"/>
            </w:pPr>
            <w:r>
              <w:rPr>
                <w:rFonts w:ascii="Times New Roman" w:hAnsi="Times New Roman"/>
                <w:sz w:val="19"/>
              </w:rPr>
              <w:t>Exploits perceived scarcity heuristics, accelerating checkout unreflectively.</w:t>
            </w:r>
          </w:p>
        </w:tc>
      </w:tr>
      <w:tr>
        <w:tc>
          <w:tcPr>
            <w:tcW w:type="dxa" w:w="2160"/>
            <w:shd w:fill="F9FAFC"/>
            <w:tcMar>
              <w:top w:w="60" w:type="dxa"/>
              <w:bottom w:w="60" w:type="dxa"/>
              <w:left w:w="80" w:type="dxa"/>
              <w:right w:w="80" w:type="dxa"/>
            </w:tcMar>
          </w:tcPr>
          <w:p>
            <w:pPr>
              <w:spacing w:before="80" w:after="80"/>
            </w:pPr>
            <w:r>
              <w:rPr>
                <w:rFonts w:ascii="Times New Roman" w:hAnsi="Times New Roman"/>
                <w:sz w:val="19"/>
              </w:rPr>
              <w:t>Confirmshaming</w:t>
            </w:r>
          </w:p>
        </w:tc>
        <w:tc>
          <w:tcPr>
            <w:tcW w:type="dxa" w:w="3600"/>
            <w:shd w:fill="F9FAFC"/>
            <w:tcMar>
              <w:top w:w="60" w:type="dxa"/>
              <w:bottom w:w="60" w:type="dxa"/>
              <w:left w:w="80" w:type="dxa"/>
              <w:right w:w="80" w:type="dxa"/>
            </w:tcMar>
          </w:tcPr>
          <w:p>
            <w:pPr>
              <w:spacing w:before="80" w:after="80"/>
            </w:pPr>
            <w:r>
              <w:rPr>
                <w:rFonts w:ascii="Times New Roman" w:hAnsi="Times New Roman"/>
                <w:sz w:val="19"/>
              </w:rPr>
              <w:t>'No thanks, I hate saving money' rejection button copy.</w:t>
            </w:r>
          </w:p>
        </w:tc>
        <w:tc>
          <w:tcPr>
            <w:tcW w:type="dxa" w:w="3168"/>
            <w:shd w:fill="F9FAFC"/>
            <w:tcMar>
              <w:top w:w="60" w:type="dxa"/>
              <w:bottom w:w="60" w:type="dxa"/>
              <w:left w:w="80" w:type="dxa"/>
              <w:right w:w="80" w:type="dxa"/>
            </w:tcMar>
          </w:tcPr>
          <w:p>
            <w:pPr>
              <w:spacing w:before="80" w:after="80"/>
            </w:pPr>
            <w:r>
              <w:rPr>
                <w:rFonts w:ascii="Times New Roman" w:hAnsi="Times New Roman"/>
                <w:sz w:val="19"/>
              </w:rPr>
              <w:t>Inflicts emotional guilt and social stigma for declining optional offerings.</w:t>
            </w:r>
          </w:p>
        </w:tc>
      </w:tr>
      <w:tr>
        <w:tc>
          <w:tcPr>
            <w:tcW w:type="dxa" w:w="2160"/>
            <w:tcMar>
              <w:top w:w="60" w:type="dxa"/>
              <w:bottom w:w="60" w:type="dxa"/>
              <w:left w:w="80" w:type="dxa"/>
              <w:right w:w="80" w:type="dxa"/>
            </w:tcMar>
          </w:tcPr>
          <w:p>
            <w:pPr>
              <w:spacing w:before="80" w:after="80"/>
            </w:pPr>
            <w:r>
              <w:rPr>
                <w:rFonts w:ascii="Times New Roman" w:hAnsi="Times New Roman"/>
                <w:sz w:val="19"/>
              </w:rPr>
              <w:t>Sneak into Basket</w:t>
            </w:r>
          </w:p>
        </w:tc>
        <w:tc>
          <w:tcPr>
            <w:tcW w:type="dxa" w:w="3600"/>
            <w:tcMar>
              <w:top w:w="60" w:type="dxa"/>
              <w:bottom w:w="60" w:type="dxa"/>
              <w:left w:w="80" w:type="dxa"/>
              <w:right w:w="80" w:type="dxa"/>
            </w:tcMar>
          </w:tcPr>
          <w:p>
            <w:pPr>
              <w:spacing w:before="80" w:after="80"/>
            </w:pPr>
            <w:r>
              <w:rPr>
                <w:rFonts w:ascii="Times New Roman" w:hAnsi="Times New Roman"/>
                <w:sz w:val="19"/>
              </w:rPr>
              <w:t>Pre-ticked warranty checkboxes, hidden processing fees.</w:t>
            </w:r>
          </w:p>
        </w:tc>
        <w:tc>
          <w:tcPr>
            <w:tcW w:type="dxa" w:w="3168"/>
            <w:tcMar>
              <w:top w:w="60" w:type="dxa"/>
              <w:bottom w:w="60" w:type="dxa"/>
              <w:left w:w="80" w:type="dxa"/>
              <w:right w:w="80" w:type="dxa"/>
            </w:tcMar>
          </w:tcPr>
          <w:p>
            <w:pPr>
              <w:spacing w:before="80" w:after="80"/>
            </w:pPr>
            <w:r>
              <w:rPr>
                <w:rFonts w:ascii="Times New Roman" w:hAnsi="Times New Roman"/>
                <w:sz w:val="19"/>
              </w:rPr>
              <w:t>Incurs unauthorized financial surcharges during final cart confirmation.</w:t>
            </w:r>
          </w:p>
        </w:tc>
      </w:tr>
      <w:tr>
        <w:tc>
          <w:tcPr>
            <w:tcW w:type="dxa" w:w="2160"/>
            <w:shd w:fill="F9FAFC"/>
            <w:tcMar>
              <w:top w:w="60" w:type="dxa"/>
              <w:bottom w:w="60" w:type="dxa"/>
              <w:left w:w="80" w:type="dxa"/>
              <w:right w:w="80" w:type="dxa"/>
            </w:tcMar>
          </w:tcPr>
          <w:p>
            <w:pPr>
              <w:spacing w:before="80" w:after="80"/>
            </w:pPr>
            <w:r>
              <w:rPr>
                <w:rFonts w:ascii="Times New Roman" w:hAnsi="Times New Roman"/>
                <w:sz w:val="19"/>
              </w:rPr>
              <w:t>Obstruction / Roach Motel</w:t>
            </w:r>
          </w:p>
        </w:tc>
        <w:tc>
          <w:tcPr>
            <w:tcW w:type="dxa" w:w="3600"/>
            <w:shd w:fill="F9FAFC"/>
            <w:tcMar>
              <w:top w:w="60" w:type="dxa"/>
              <w:bottom w:w="60" w:type="dxa"/>
              <w:left w:w="80" w:type="dxa"/>
              <w:right w:w="80" w:type="dxa"/>
            </w:tcMar>
          </w:tcPr>
          <w:p>
            <w:pPr>
              <w:spacing w:before="80" w:after="80"/>
            </w:pPr>
            <w:r>
              <w:rPr>
                <w:rFonts w:ascii="Times New Roman" w:hAnsi="Times New Roman"/>
                <w:sz w:val="19"/>
              </w:rPr>
              <w:t>1-click subscription signup vs. 7-step call-in cancellation.</w:t>
            </w:r>
          </w:p>
        </w:tc>
        <w:tc>
          <w:tcPr>
            <w:tcW w:type="dxa" w:w="3168"/>
            <w:shd w:fill="F9FAFC"/>
            <w:tcMar>
              <w:top w:w="60" w:type="dxa"/>
              <w:bottom w:w="60" w:type="dxa"/>
              <w:left w:w="80" w:type="dxa"/>
              <w:right w:w="80" w:type="dxa"/>
            </w:tcMar>
          </w:tcPr>
          <w:p>
            <w:pPr>
              <w:spacing w:before="80" w:after="80"/>
            </w:pPr>
            <w:r>
              <w:rPr>
                <w:rFonts w:ascii="Times New Roman" w:hAnsi="Times New Roman"/>
                <w:sz w:val="19"/>
              </w:rPr>
              <w:t>Artificially inflates exit friction to lock users into perpetual billings.</w:t>
            </w:r>
          </w:p>
        </w:tc>
      </w:tr>
    </w:tbl>
    <w:p>
      <w:pPr>
        <w:spacing w:after="160"/>
      </w:pPr>
    </w:p>
    <w:p>
      <w:pPr>
        <w:keepNext/>
        <w:spacing w:before="200" w:after="80"/>
      </w:pPr>
      <w:r>
        <w:rPr>
          <w:rFonts w:ascii="Times New Roman" w:hAnsi="Times New Roman"/>
          <w:b/>
          <w:i/>
          <w:color w:val="323232"/>
          <w:sz w:val="24"/>
        </w:rPr>
        <w:t>1.3 Legal and Regulatory Imperatives</w:t>
      </w:r>
    </w:p>
    <w:p>
      <w:pPr>
        <w:spacing w:line="300" w:lineRule="auto" w:after="120"/>
        <w:jc w:val="both"/>
      </w:pPr>
      <w:r>
        <w:rPr>
          <w:rFonts w:ascii="Times New Roman" w:hAnsi="Times New Roman"/>
          <w:color w:val="1E1E1E"/>
          <w:sz w:val="24"/>
        </w:rPr>
        <w:t>The widespread proliferation of deceptive interfaces has prompted vigorous statutory interventions worldwide. The United States Federal Trade Commission (FTC) issued comprehensive enforcement guidance warning against deceptive dark patterns under Section 5 of the FTC Act. In the European Union, the Digital Services Act (DSA, Regulation 2022/2065) and the General Data Protection Regulation (GDPR) explicitly prohibit design interfaces that distort consumer decision-making. Similarly, in India, the Central Consumer Protection Authority (CCPA) and the Advertising Standards Council of India (ASCI) notified strict guidelines in 2023 outlawing 13 distinct dark pattern archetypes across Indian online retail platforms. Consequently, automated, legally grounded detection systems are an urgent necessity for regulatory compliance, consumer defense, and enterprise auditability.</w:t>
      </w:r>
    </w:p>
    <w:p>
      <w:pPr>
        <w:keepNext/>
        <w:spacing w:before="200" w:after="80"/>
      </w:pPr>
      <w:r>
        <w:rPr>
          <w:rFonts w:ascii="Times New Roman" w:hAnsi="Times New Roman"/>
          <w:b/>
          <w:i/>
          <w:color w:val="323232"/>
          <w:sz w:val="24"/>
        </w:rPr>
        <w:t>1.4 Limitations of Existing Heuristic Systems</w:t>
      </w:r>
    </w:p>
    <w:p>
      <w:pPr>
        <w:spacing w:line="300" w:lineRule="auto" w:after="120"/>
        <w:jc w:val="both"/>
      </w:pPr>
      <w:r>
        <w:rPr>
          <w:rFonts w:ascii="Times New Roman" w:hAnsi="Times New Roman"/>
          <w:color w:val="1E1E1E"/>
          <w:sz w:val="24"/>
        </w:rPr>
        <w:t>Early dark pattern detection mechanisms relied largely on crowdsourced lists and static regex pattern matching. However, these systems exhibit three critical vulnerabilities:</w:t>
      </w:r>
    </w:p>
    <w:p>
      <w:pPr>
        <w:pStyle w:val="ListBullet"/>
        <w:spacing w:line="288" w:lineRule="auto" w:after="80"/>
        <w:jc w:val="both"/>
      </w:pPr>
      <w:r>
        <w:rPr>
          <w:rFonts w:ascii="Times New Roman" w:hAnsi="Times New Roman"/>
          <w:b/>
          <w:color w:val="1B365D"/>
          <w:sz w:val="24"/>
        </w:rPr>
        <w:t xml:space="preserve">1. </w:t>
      </w:r>
      <w:r>
        <w:rPr>
          <w:rFonts w:ascii="Times New Roman" w:hAnsi="Times New Roman"/>
          <w:color w:val="1E1E1E"/>
          <w:sz w:val="24"/>
        </w:rPr>
        <w:t>Syntactic Rigidity: Regex rules break upon minimal copy alterations (e.g., changing 'hurry, only 2 left' to 'just 2 remaining in warehouse').</w:t>
      </w:r>
    </w:p>
    <w:p>
      <w:pPr>
        <w:pStyle w:val="ListBullet"/>
        <w:spacing w:line="288" w:lineRule="auto" w:after="80"/>
        <w:jc w:val="both"/>
      </w:pPr>
      <w:r>
        <w:rPr>
          <w:rFonts w:ascii="Times New Roman" w:hAnsi="Times New Roman"/>
          <w:b/>
          <w:color w:val="1B365D"/>
          <w:sz w:val="24"/>
        </w:rPr>
        <w:t xml:space="preserve">2. </w:t>
      </w:r>
      <w:r>
        <w:rPr>
          <w:rFonts w:ascii="Times New Roman" w:hAnsi="Times New Roman"/>
          <w:color w:val="1E1E1E"/>
          <w:sz w:val="24"/>
        </w:rPr>
        <w:t>Whole-Page Token Accumulation: Extracting an entire web page's 50,000-character text body and scoring it through machine learning models causes legitimate non-deceptive pages to trigger false positives due to cumulative weight aggregation.</w:t>
      </w:r>
    </w:p>
    <w:p>
      <w:pPr>
        <w:pStyle w:val="ListBullet"/>
        <w:spacing w:line="288" w:lineRule="auto" w:after="80"/>
        <w:jc w:val="both"/>
      </w:pPr>
      <w:r>
        <w:rPr>
          <w:rFonts w:ascii="Times New Roman" w:hAnsi="Times New Roman"/>
          <w:b/>
          <w:color w:val="1B365D"/>
          <w:sz w:val="24"/>
        </w:rPr>
        <w:t xml:space="preserve">3. </w:t>
      </w:r>
      <w:r>
        <w:rPr>
          <w:rFonts w:ascii="Times New Roman" w:hAnsi="Times New Roman"/>
          <w:color w:val="1E1E1E"/>
          <w:sz w:val="24"/>
        </w:rPr>
        <w:t>Black-Box Opacity: Generic classifiers output a single probability value without explaining which specific token or visual cue triggered the alert, preventing users from validating the detection.</w:t>
      </w:r>
    </w:p>
    <w:p>
      <w:pPr>
        <w:keepNext/>
        <w:spacing w:before="200" w:after="80"/>
      </w:pPr>
      <w:r>
        <w:rPr>
          <w:rFonts w:ascii="Times New Roman" w:hAnsi="Times New Roman"/>
          <w:b/>
          <w:i/>
          <w:color w:val="323232"/>
          <w:sz w:val="24"/>
        </w:rPr>
        <w:t>1.5 Objectives and Project Scope</w:t>
      </w:r>
    </w:p>
    <w:p>
      <w:pPr>
        <w:spacing w:line="300" w:lineRule="auto" w:after="120"/>
        <w:jc w:val="both"/>
      </w:pPr>
      <w:r>
        <w:rPr>
          <w:rFonts w:ascii="Times New Roman" w:hAnsi="Times New Roman"/>
          <w:color w:val="1E1E1E"/>
          <w:sz w:val="24"/>
        </w:rPr>
        <w:t>The primary goal of DarkShield AI is to design, evaluate, and deploy a robust, explainable, and production-ready machine learning framework capable of autonomous deceptive pattern detection across live web interfaces. Specifically, the project objectives comprise:</w:t>
      </w:r>
    </w:p>
    <w:p>
      <w:pPr>
        <w:pStyle w:val="ListBullet"/>
        <w:spacing w:line="288" w:lineRule="auto" w:after="80"/>
        <w:jc w:val="both"/>
      </w:pPr>
      <w:r>
        <w:rPr>
          <w:rFonts w:ascii="Times New Roman" w:hAnsi="Times New Roman"/>
          <w:b/>
          <w:color w:val="1B365D"/>
          <w:sz w:val="24"/>
        </w:rPr>
        <w:t xml:space="preserve">Objective 1: </w:t>
      </w:r>
      <w:r>
        <w:rPr>
          <w:rFonts w:ascii="Times New Roman" w:hAnsi="Times New Roman"/>
          <w:color w:val="1E1E1E"/>
          <w:sz w:val="24"/>
        </w:rPr>
        <w:t>Curating and validating a clean training corpus from the ec-darkpattern research dataset with strict schema constraints.</w:t>
      </w:r>
    </w:p>
    <w:p>
      <w:pPr>
        <w:pStyle w:val="ListBullet"/>
        <w:spacing w:line="288" w:lineRule="auto" w:after="80"/>
        <w:jc w:val="both"/>
      </w:pPr>
      <w:r>
        <w:rPr>
          <w:rFonts w:ascii="Times New Roman" w:hAnsi="Times New Roman"/>
          <w:b/>
          <w:color w:val="1B365D"/>
          <w:sz w:val="24"/>
        </w:rPr>
        <w:t xml:space="preserve">Objective 2: </w:t>
      </w:r>
      <w:r>
        <w:rPr>
          <w:rFonts w:ascii="Times New Roman" w:hAnsi="Times New Roman"/>
          <w:color w:val="1E1E1E"/>
          <w:sz w:val="24"/>
        </w:rPr>
        <w:t>Building an automated MLOps pipeline comprising Ingestion, Validation, Transformation, 5-Fold Stratified Tuning, Evaluation, and Model Deployment.</w:t>
      </w:r>
    </w:p>
    <w:p>
      <w:pPr>
        <w:pStyle w:val="ListBullet"/>
        <w:spacing w:line="288" w:lineRule="auto" w:after="80"/>
        <w:jc w:val="both"/>
      </w:pPr>
      <w:r>
        <w:rPr>
          <w:rFonts w:ascii="Times New Roman" w:hAnsi="Times New Roman"/>
          <w:b/>
          <w:color w:val="1B365D"/>
          <w:sz w:val="24"/>
        </w:rPr>
        <w:t xml:space="preserve">Objective 3: </w:t>
      </w:r>
      <w:r>
        <w:rPr>
          <w:rFonts w:ascii="Times New Roman" w:hAnsi="Times New Roman"/>
          <w:color w:val="1E1E1E"/>
          <w:sz w:val="24"/>
        </w:rPr>
        <w:t>Conducting a rigorous comparative benchmark across four distinct ML architectures: Logistic Regression, Linear SVM, LSTM, and GRU.</w:t>
      </w:r>
    </w:p>
    <w:p>
      <w:pPr>
        <w:pStyle w:val="ListBullet"/>
        <w:spacing w:line="288" w:lineRule="auto" w:after="80"/>
        <w:jc w:val="both"/>
      </w:pPr>
      <w:r>
        <w:rPr>
          <w:rFonts w:ascii="Times New Roman" w:hAnsi="Times New Roman"/>
          <w:b/>
          <w:color w:val="1B365D"/>
          <w:sz w:val="24"/>
        </w:rPr>
        <w:t xml:space="preserve">Objective 4: </w:t>
      </w:r>
      <w:r>
        <w:rPr>
          <w:rFonts w:ascii="Times New Roman" w:hAnsi="Times New Roman"/>
          <w:color w:val="1E1E1E"/>
          <w:sz w:val="24"/>
        </w:rPr>
        <w:t>Implementing Explainable AI (XAI) using game-theoretic SHAP attributions to highlight exact deceptive tokens in real time.</w:t>
      </w:r>
    </w:p>
    <w:p>
      <w:pPr>
        <w:pStyle w:val="ListBullet"/>
        <w:spacing w:line="288" w:lineRule="auto" w:after="80"/>
        <w:jc w:val="both"/>
      </w:pPr>
      <w:r>
        <w:rPr>
          <w:rFonts w:ascii="Times New Roman" w:hAnsi="Times New Roman"/>
          <w:b/>
          <w:color w:val="1B365D"/>
          <w:sz w:val="24"/>
        </w:rPr>
        <w:t xml:space="preserve">Objective 5: </w:t>
      </w:r>
      <w:r>
        <w:rPr>
          <w:rFonts w:ascii="Times New Roman" w:hAnsi="Times New Roman"/>
          <w:color w:val="1E1E1E"/>
          <w:sz w:val="24"/>
        </w:rPr>
        <w:t>Developing a dual-stage Calibrated Granular Element-Level Auditing Engine and a stealth Playwright Chromium scraper to audit live e-commerce sites without CAPTCHA blocking.</w:t>
      </w:r>
    </w:p>
    <w:p>
      <w:pPr>
        <w:pStyle w:val="ListBullet"/>
        <w:spacing w:line="288" w:lineRule="auto" w:after="80"/>
        <w:jc w:val="both"/>
      </w:pPr>
      <w:r>
        <w:rPr>
          <w:rFonts w:ascii="Times New Roman" w:hAnsi="Times New Roman"/>
          <w:b/>
          <w:color w:val="1B365D"/>
          <w:sz w:val="24"/>
        </w:rPr>
        <w:t xml:space="preserve">Objective 6: </w:t>
      </w:r>
      <w:r>
        <w:rPr>
          <w:rFonts w:ascii="Times New Roman" w:hAnsi="Times New Roman"/>
          <w:color w:val="1E1E1E"/>
          <w:sz w:val="24"/>
        </w:rPr>
        <w:t>Deploying the system through a full-stack architecture featuring a FastAPI backend, a React/Vite dashboard, and a Manifest V3 Chrome Extension.</w:t>
      </w: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200" w:type="dxa"/>
              <w:right w:w="200" w:type="dxa"/>
            </w:tcMar>
          </w:tcPr>
          <w:p>
            <w:pPr>
              <w:spacing w:line="288" w:lineRule="auto" w:after="40"/>
            </w:pPr>
            <w:r>
              <w:rPr>
                <w:rFonts w:ascii="Times New Roman" w:hAnsi="Times New Roman"/>
                <w:b/>
                <w:color w:val="1B365D"/>
                <w:sz w:val="22"/>
              </w:rPr>
              <w:t xml:space="preserve">📌 CORE SCIENTIFIC INNOVATION: </w:t>
            </w:r>
            <w:r>
              <w:rPr>
                <w:rFonts w:ascii="Times New Roman" w:hAnsi="Times New Roman"/>
                <w:color w:val="282828"/>
                <w:sz w:val="21"/>
              </w:rPr>
              <w:t>DarkShield AI transitions dark pattern detection from naive whole-page keyword matching to element-level semantic verification corroborated by Explainable AI (SHAP), achieving 94.92% accuracy while completely eliminating false positives on clean benchmark websites.</w:t>
            </w:r>
          </w:p>
        </w:tc>
      </w:tr>
    </w:tbl>
    <w:p>
      <w:pPr>
        <w:spacing w:after="80"/>
      </w:pPr>
    </w:p>
    <w:p>
      <w:r>
        <w:br w:type="page"/>
      </w:r>
    </w:p>
    <w:p>
      <w:pPr>
        <w:keepNext/>
        <w:spacing w:before="400" w:after="160"/>
      </w:pPr>
      <w:r>
        <w:rPr>
          <w:rFonts w:ascii="Times New Roman" w:hAnsi="Times New Roman"/>
          <w:b/>
          <w:color w:val="1B365D"/>
          <w:sz w:val="30"/>
        </w:rPr>
        <w:t>CHAPTER 2</w:t>
      </w:r>
    </w:p>
    <w:p>
      <w:pPr>
        <w:keepNext/>
        <w:spacing w:before="280" w:after="120"/>
      </w:pPr>
      <w:r>
        <w:rPr>
          <w:rFonts w:ascii="Times New Roman" w:hAnsi="Times New Roman"/>
          <w:b/>
          <w:color w:val="29528A"/>
          <w:sz w:val="26"/>
        </w:rPr>
        <w:t>LITERATURE REVIEW &amp; RELATED WORK</w:t>
      </w:r>
    </w:p>
    <w:p>
      <w:pPr>
        <w:keepNext/>
        <w:spacing w:before="200" w:after="80"/>
      </w:pPr>
      <w:r>
        <w:rPr>
          <w:rFonts w:ascii="Times New Roman" w:hAnsi="Times New Roman"/>
          <w:b/>
          <w:i/>
          <w:color w:val="323232"/>
          <w:sz w:val="24"/>
        </w:rPr>
        <w:t>2.1 Foundational Studies on Deceptive User Interfaces</w:t>
      </w:r>
    </w:p>
    <w:p>
      <w:pPr>
        <w:spacing w:line="300" w:lineRule="auto" w:after="120"/>
        <w:jc w:val="both"/>
      </w:pPr>
      <w:r>
        <w:rPr>
          <w:rFonts w:ascii="Times New Roman" w:hAnsi="Times New Roman"/>
          <w:color w:val="1E1E1E"/>
          <w:sz w:val="24"/>
        </w:rPr>
        <w:t>The systematic academic study of deceptive design was initiated by Mathur et al. (2019), who conducted the first large-scale automated crawl of 11,000 e-commerce shopping websites. Their investigation identified 1,818 dark pattern instances across 11.1% of the scanned websites, discovering that deceptive practices were concentrated in prominent shopping portals. Gray et al. (2018) established the primary conceptual vocabulary for classifying dark patterns in human-computer interaction, categorizing them into Nagging, Sneaking, Interface Interference, Forced Action, and Obstruction.</w:t>
      </w:r>
    </w:p>
    <w:p>
      <w:pPr>
        <w:spacing w:line="300" w:lineRule="auto" w:after="120"/>
        <w:jc w:val="both"/>
      </w:pPr>
      <w:r>
        <w:rPr>
          <w:rFonts w:ascii="Times New Roman" w:hAnsi="Times New Roman"/>
          <w:color w:val="1E1E1E"/>
          <w:sz w:val="24"/>
        </w:rPr>
        <w:t>Di Geronimo et al. (2020) analyzed the presence of dark patterns in mobile applications, evaluating user recognition and cognitive perception. Their empirical findings revealed that ordinary consumers correctly identify deceptive patterns less than 30% of the time, highlighting an acute vulnerability that necessitates automated algorithmic defense.</w:t>
      </w:r>
    </w:p>
    <w:p>
      <w:pPr>
        <w:keepNext/>
        <w:spacing w:before="200" w:after="80"/>
      </w:pPr>
      <w:r>
        <w:rPr>
          <w:rFonts w:ascii="Times New Roman" w:hAnsi="Times New Roman"/>
          <w:b/>
          <w:i/>
          <w:color w:val="323232"/>
          <w:sz w:val="24"/>
        </w:rPr>
        <w:t>2.2 Machine Learning for Text Classification in Web Security</w:t>
      </w:r>
    </w:p>
    <w:p>
      <w:pPr>
        <w:spacing w:line="300" w:lineRule="auto" w:after="120"/>
        <w:jc w:val="both"/>
      </w:pPr>
      <w:r>
        <w:rPr>
          <w:rFonts w:ascii="Times New Roman" w:hAnsi="Times New Roman"/>
          <w:color w:val="1E1E1E"/>
          <w:sz w:val="24"/>
        </w:rPr>
        <w:t>Early computational attempts to detect deceptive web elements utilized classical supervised learning. Soe et al. (2020) applied Naive Bayes and Random Forests on static text datasets, reporting acceptable classification performance on synthetic benchmarks but substantial degradation on dynamic webpages. Yada et al. (2022) explored TF-IDF vectorization coupled with Support Vector Machines, demonstrating that linear boundary separators achieve strong precision when trained on domain-specific e-commerce corpora.</w:t>
      </w:r>
    </w:p>
    <w:p>
      <w:pPr>
        <w:spacing w:line="300" w:lineRule="auto" w:after="120"/>
        <w:jc w:val="both"/>
      </w:pPr>
      <w:r>
        <w:rPr>
          <w:rFonts w:ascii="Times New Roman" w:hAnsi="Times New Roman"/>
          <w:color w:val="1E1E1E"/>
          <w:sz w:val="24"/>
        </w:rPr>
        <w:t>With the advent of deep learning for natural language processing, recurrent architectures like Long Short-Term Memory (LSTM) networks (Hochreiter and Schmidhuber, 1997) and Gated Recurrent Units (GRU) (Cho et al., 2014) emerged as powerful paradigms. These sequential models preserve temporal token dependencies, enabling the network to differentiate subtle syntactic nuances—such as distinguishing an innocuous informative stock counter ('Inventory updated daily') from a manipulative artificial scarcity alert ('Hurry! Only 1 left!').</w:t>
      </w:r>
    </w:p>
    <w:p>
      <w:pPr>
        <w:keepNext/>
        <w:spacing w:before="200" w:after="80"/>
      </w:pPr>
      <w:r>
        <w:rPr>
          <w:rFonts w:ascii="Times New Roman" w:hAnsi="Times New Roman"/>
          <w:b/>
          <w:i/>
          <w:color w:val="323232"/>
          <w:sz w:val="24"/>
        </w:rPr>
        <w:t>2.3 Explainable Artificial Intelligence (XAI) in Consumer Trust</w:t>
      </w:r>
    </w:p>
    <w:p>
      <w:pPr>
        <w:spacing w:line="300" w:lineRule="auto" w:after="120"/>
        <w:jc w:val="both"/>
      </w:pPr>
      <w:r>
        <w:rPr>
          <w:rFonts w:ascii="Times New Roman" w:hAnsi="Times New Roman"/>
          <w:color w:val="1E1E1E"/>
          <w:sz w:val="24"/>
        </w:rPr>
        <w:t>While deep neural networks achieve superior predictive accuracy, their internal parameters operate as complex black boxes. In consumer defense applications, unexplainable algorithmic decisions breed user skepticism. Lundberg and Lee (2017) formalized SHAP (SHapley Additive exPlanations), an axiomatic framework grounded in cooperative game theory that computes the exact marginal contribution of each input feature to the final prediction.</w:t>
      </w:r>
    </w:p>
    <w:p>
      <w:pPr>
        <w:spacing w:line="300" w:lineRule="auto" w:after="120"/>
        <w:jc w:val="both"/>
      </w:pPr>
      <w:r>
        <w:rPr>
          <w:rFonts w:ascii="Times New Roman" w:hAnsi="Times New Roman"/>
          <w:color w:val="1E1E1E"/>
          <w:sz w:val="24"/>
        </w:rPr>
        <w:t>In DarkShield AI, we harness SHAP to ground every detection in observable evidence. By computing Shapley values across both TF-IDF linear pipelines (LinearExplainer) and recurrent sequence representations (DeepExplainer), our system visually isolates the precise words and syntactic phrases responsible for classifying an interface element as deceptive.</w:t>
      </w:r>
    </w:p>
    <w:p>
      <w:pPr>
        <w:keepNext/>
        <w:spacing w:before="200" w:after="80"/>
      </w:pPr>
      <w:r>
        <w:rPr>
          <w:rFonts w:ascii="Times New Roman" w:hAnsi="Times New Roman"/>
          <w:b/>
          <w:i/>
          <w:color w:val="323232"/>
          <w:sz w:val="24"/>
        </w:rPr>
        <w:t>2.4 Anti-Scraping Evasion and Bot Challenges</w:t>
      </w:r>
    </w:p>
    <w:p>
      <w:pPr>
        <w:spacing w:line="300" w:lineRule="auto" w:after="120"/>
        <w:jc w:val="both"/>
      </w:pPr>
      <w:r>
        <w:rPr>
          <w:rFonts w:ascii="Times New Roman" w:hAnsi="Times New Roman"/>
          <w:color w:val="1E1E1E"/>
          <w:sz w:val="24"/>
        </w:rPr>
        <w:t>A pervasive challenge in real-world web auditing is the presence of modern Bot Management Systems (e.g., Cloudflare, Akamai, Amazon WAF). Standard automated scrapers such as Selenium or vanilla headless Chrome broadcast conspicuous automation signatures (e.g., navigator.webdriver = true, standardized window dimensions, missing WebGL vendor strings). Consequently, scanners attempting to inspect product pages are intercepted by bot-challenge walls or 27-word CAPTCHA checkpoints, yielding empty or corrupted text. DarkShield AI systematically resolves this via a stealth Playwright Chromium configuration incorporating fingerprint randomization and stealth context initialization.</w:t>
      </w:r>
    </w:p>
    <w:p>
      <w:pPr>
        <w:keepNext/>
        <w:spacing w:before="200" w:after="80"/>
      </w:pPr>
      <w:r>
        <w:rPr>
          <w:rFonts w:ascii="Times New Roman" w:hAnsi="Times New Roman"/>
          <w:b/>
          <w:i/>
          <w:color w:val="323232"/>
          <w:sz w:val="24"/>
        </w:rPr>
        <w:t>2.5 Identified Research Gaps</w:t>
      </w:r>
    </w:p>
    <w:p>
      <w:pPr>
        <w:spacing w:line="300" w:lineRule="auto" w:after="120"/>
        <w:jc w:val="both"/>
      </w:pPr>
      <w:r>
        <w:rPr>
          <w:rFonts w:ascii="Times New Roman" w:hAnsi="Times New Roman"/>
          <w:color w:val="1E1E1E"/>
          <w:sz w:val="24"/>
        </w:rPr>
        <w:t>A thorough synthesis of the literature identifies three critical research gaps:</w:t>
      </w:r>
    </w:p>
    <w:p>
      <w:pPr>
        <w:pStyle w:val="ListBullet"/>
        <w:spacing w:line="288" w:lineRule="auto" w:after="80"/>
        <w:jc w:val="both"/>
      </w:pPr>
      <w:r>
        <w:rPr>
          <w:rFonts w:ascii="Times New Roman" w:hAnsi="Times New Roman"/>
          <w:b/>
          <w:color w:val="1B365D"/>
          <w:sz w:val="24"/>
        </w:rPr>
        <w:t xml:space="preserve">MLOps Gap: </w:t>
      </w:r>
      <w:r>
        <w:rPr>
          <w:rFonts w:ascii="Times New Roman" w:hAnsi="Times New Roman"/>
          <w:color w:val="1E1E1E"/>
          <w:sz w:val="24"/>
        </w:rPr>
        <w:t>Gap 1: Absence of End-to-End MLOps Pipelines—Most published works focus solely on offline Jupyter notebook experiments, omitting reproducible data validation, automated model pushers, and production serving architectures.</w:t>
      </w:r>
    </w:p>
    <w:p>
      <w:pPr>
        <w:pStyle w:val="ListBullet"/>
        <w:spacing w:line="288" w:lineRule="auto" w:after="80"/>
        <w:jc w:val="both"/>
      </w:pPr>
      <w:r>
        <w:rPr>
          <w:rFonts w:ascii="Times New Roman" w:hAnsi="Times New Roman"/>
          <w:b/>
          <w:color w:val="1B365D"/>
          <w:sz w:val="24"/>
        </w:rPr>
        <w:t xml:space="preserve">Scoring Granularity Gap: </w:t>
      </w:r>
      <w:r>
        <w:rPr>
          <w:rFonts w:ascii="Times New Roman" w:hAnsi="Times New Roman"/>
          <w:color w:val="1E1E1E"/>
          <w:sz w:val="24"/>
        </w:rPr>
        <w:t>Gap 2: The Whole-Page Text Aggregation Fallacy—Existing web crawlers concatenate all page text into a massive blob, leading to catastrophic false-positive spikes when innocent pages happen to contain words like 'free' or 'deal'.</w:t>
      </w:r>
    </w:p>
    <w:p>
      <w:pPr>
        <w:pStyle w:val="ListBullet"/>
        <w:spacing w:line="288" w:lineRule="auto" w:after="80"/>
        <w:jc w:val="both"/>
      </w:pPr>
      <w:r>
        <w:rPr>
          <w:rFonts w:ascii="Times New Roman" w:hAnsi="Times New Roman"/>
          <w:b/>
          <w:color w:val="1B365D"/>
          <w:sz w:val="24"/>
        </w:rPr>
        <w:t xml:space="preserve">Interpretability Gap: </w:t>
      </w:r>
      <w:r>
        <w:rPr>
          <w:rFonts w:ascii="Times New Roman" w:hAnsi="Times New Roman"/>
          <w:color w:val="1E1E1E"/>
          <w:sz w:val="24"/>
        </w:rPr>
        <w:t>Gap 3: Missing Integrated Explainability—Prior browser extensions provide binary flags without visual token attribution, preventing users and legal auditors from understanding the underlying rationale.</w:t>
      </w:r>
    </w:p>
    <w:p>
      <w:r>
        <w:br w:type="page"/>
      </w:r>
    </w:p>
    <w:p>
      <w:pPr>
        <w:keepNext/>
        <w:spacing w:before="400" w:after="160"/>
      </w:pPr>
      <w:r>
        <w:rPr>
          <w:rFonts w:ascii="Times New Roman" w:hAnsi="Times New Roman"/>
          <w:b/>
          <w:color w:val="1B365D"/>
          <w:sz w:val="30"/>
        </w:rPr>
        <w:t>CHAPTER 3</w:t>
      </w:r>
    </w:p>
    <w:p>
      <w:pPr>
        <w:keepNext/>
        <w:spacing w:before="280" w:after="120"/>
      </w:pPr>
      <w:r>
        <w:rPr>
          <w:rFonts w:ascii="Times New Roman" w:hAnsi="Times New Roman"/>
          <w:b/>
          <w:color w:val="29528A"/>
          <w:sz w:val="26"/>
        </w:rPr>
        <w:t>SYSTEM DESIGN &amp; ARCHITECTURAL BLUEPRINT</w:t>
      </w:r>
    </w:p>
    <w:p>
      <w:pPr>
        <w:keepNext/>
        <w:spacing w:before="200" w:after="80"/>
      </w:pPr>
      <w:r>
        <w:rPr>
          <w:rFonts w:ascii="Times New Roman" w:hAnsi="Times New Roman"/>
          <w:b/>
          <w:i/>
          <w:color w:val="323232"/>
          <w:sz w:val="24"/>
        </w:rPr>
        <w:t>3.1 High-Level Architecture Overview</w:t>
      </w:r>
    </w:p>
    <w:p>
      <w:pPr>
        <w:spacing w:line="300" w:lineRule="auto" w:after="120"/>
        <w:jc w:val="both"/>
      </w:pPr>
      <w:r>
        <w:rPr>
          <w:rFonts w:ascii="Times New Roman" w:hAnsi="Times New Roman"/>
          <w:color w:val="1E1E1E"/>
          <w:sz w:val="24"/>
        </w:rPr>
        <w:t>DarkShield AI is engineered as a decoupled, multi-tier microservice architecture adhering to enterprise MLOps standards. The system orchestrates five fundamental layers: (1) Client Presentation Layer, (2) API Serving Gateway, (3) Stealth Web Scraping &amp; DOM Extraction Engine, (4) Machine Learning Inference &amp; Calibrated Auditing Pipeline, and (5) Explainability &amp; Model Registry Subsystem.</w:t>
      </w:r>
    </w:p>
    <w:p>
      <w:pPr>
        <w:spacing w:line="300" w:lineRule="auto" w:after="120"/>
        <w:jc w:val="both"/>
      </w:pPr>
      <w:r>
        <w:rPr>
          <w:rFonts w:ascii="Times New Roman" w:hAnsi="Times New Roman"/>
          <w:color w:val="1E1E1E"/>
          <w:sz w:val="24"/>
        </w:rPr>
        <w:t>Figure 3.1 illustrates the complete operational workflow. When a user requests an audit via the React Web UI or Chrome Extension, the request is dispatched to the FastAPI gateway. The Playwright engine stealthily hydrates the target URL, extracts discrete interactive DOM elements, passes them through the multi-model inference pipeline, generates SHAP token attributions, and returns a structured JSON payload containing granular element-level findings.</w:t>
      </w:r>
    </w:p>
    <w:tbl>
      <w:tblPr>
        <w:tblW w:type="auto" w:w="0"/>
        <w:jc w:val="center"/>
        <w:tblLook w:firstColumn="1" w:firstRow="1" w:lastColumn="0" w:lastRow="0" w:noHBand="0" w:noVBand="1" w:val="04A0"/>
      </w:tblPr>
      <w:tblGrid>
        <w:gridCol w:w="9000"/>
      </w:tblGrid>
      <w:tr>
        <w:tc>
          <w:tcPr>
            <w:tcW w:type="dxa" w:w="8928"/>
            <w:shd w:fill="F0F4F8"/>
            <w:tcMar>
              <w:top w:w="140" w:type="dxa"/>
              <w:bottom w:w="140" w:type="dxa"/>
              <w:left w:w="200" w:type="dxa"/>
              <w:right w:w="200" w:type="dxa"/>
            </w:tcMar>
          </w:tcPr>
          <w:p>
            <w:pPr>
              <w:spacing w:line="288" w:lineRule="auto" w:after="40"/>
            </w:pPr>
            <w:r>
              <w:rPr>
                <w:rFonts w:ascii="Times New Roman" w:hAnsi="Times New Roman"/>
                <w:b/>
                <w:color w:val="1B365D"/>
                <w:sz w:val="22"/>
              </w:rPr>
              <w:t xml:space="preserve">📌 SYSTEM EXECUTION PIPELINE: </w:t>
            </w:r>
            <w:r>
              <w:rPr>
                <w:rFonts w:ascii="Times New Roman" w:hAnsi="Times New Roman"/>
                <w:color w:val="282828"/>
                <w:sz w:val="21"/>
              </w:rPr>
              <w:t>Client Layer (React / Chrome Extension) ➔ FastAPI Gateway ➔ Stealth Playwright Scraper ➔ DOM Element Extractor ➔ TF-IDF Vectorizer ➔ Multi-Model Inference (LR, SVM, LSTM, GRU) ➔ Dual-Stage Calibrated Auditor ➔ SHAP Explainer ➔ Visual Dashboard.</w:t>
            </w:r>
          </w:p>
        </w:tc>
      </w:tr>
    </w:tbl>
    <w:p>
      <w:pPr>
        <w:spacing w:after="80"/>
      </w:pPr>
    </w:p>
    <w:p>
      <w:pPr>
        <w:keepNext/>
        <w:spacing w:before="200" w:after="80"/>
      </w:pPr>
      <w:r>
        <w:rPr>
          <w:rFonts w:ascii="Times New Roman" w:hAnsi="Times New Roman"/>
          <w:b/>
          <w:i/>
          <w:color w:val="323232"/>
          <w:sz w:val="24"/>
        </w:rPr>
        <w:t>3.2 Enterprise MLOps Pipeline Architecture</w:t>
      </w:r>
    </w:p>
    <w:p>
      <w:pPr>
        <w:spacing w:line="300" w:lineRule="auto" w:after="120"/>
        <w:jc w:val="both"/>
      </w:pPr>
      <w:r>
        <w:rPr>
          <w:rFonts w:ascii="Times New Roman" w:hAnsi="Times New Roman"/>
          <w:color w:val="1E1E1E"/>
          <w:sz w:val="24"/>
        </w:rPr>
        <w:t>To ensure reproducibility, fault tolerance, and zero-downtime model deployment, DarkShield AI adopts a modular component-based MLOps design residing in the src/ directory:</w:t>
      </w:r>
    </w:p>
    <w:p>
      <w:pPr>
        <w:pStyle w:val="ListBullet"/>
        <w:spacing w:line="288" w:lineRule="auto" w:after="80"/>
        <w:jc w:val="both"/>
      </w:pPr>
      <w:r>
        <w:rPr>
          <w:rFonts w:ascii="Times New Roman" w:hAnsi="Times New Roman"/>
          <w:b/>
          <w:color w:val="1B365D"/>
          <w:sz w:val="24"/>
        </w:rPr>
        <w:t xml:space="preserve">Component 1: </w:t>
      </w:r>
      <w:r>
        <w:rPr>
          <w:rFonts w:ascii="Times New Roman" w:hAnsi="Times New Roman"/>
          <w:color w:val="1E1E1E"/>
          <w:sz w:val="24"/>
        </w:rPr>
        <w:t>Data Ingestion (src/components/data_ingestion.py): Ingests the raw dataset from data/raw/dataset.tsv, executes stratified train/test partitioning (80/20 split), and persists immutable partition artifacts in data/processed/.</w:t>
      </w:r>
    </w:p>
    <w:p>
      <w:pPr>
        <w:pStyle w:val="ListBullet"/>
        <w:spacing w:line="288" w:lineRule="auto" w:after="80"/>
        <w:jc w:val="both"/>
      </w:pPr>
      <w:r>
        <w:rPr>
          <w:rFonts w:ascii="Times New Roman" w:hAnsi="Times New Roman"/>
          <w:b/>
          <w:color w:val="1B365D"/>
          <w:sz w:val="24"/>
        </w:rPr>
        <w:t xml:space="preserve">Component 2: </w:t>
      </w:r>
      <w:r>
        <w:rPr>
          <w:rFonts w:ascii="Times New Roman" w:hAnsi="Times New Roman"/>
          <w:color w:val="1E1E1E"/>
          <w:sz w:val="24"/>
        </w:rPr>
        <w:t>Data Validation (src/components/data_validation.py): Enforces enterprise schema integrity using config/schema.yaml, verifying column counts, data types, null thresholds, and valid target labels before pipeline execution.</w:t>
      </w:r>
    </w:p>
    <w:p>
      <w:pPr>
        <w:pStyle w:val="ListBullet"/>
        <w:spacing w:line="288" w:lineRule="auto" w:after="80"/>
        <w:jc w:val="both"/>
      </w:pPr>
      <w:r>
        <w:rPr>
          <w:rFonts w:ascii="Times New Roman" w:hAnsi="Times New Roman"/>
          <w:b/>
          <w:color w:val="1B365D"/>
          <w:sz w:val="24"/>
        </w:rPr>
        <w:t xml:space="preserve">Component 3: </w:t>
      </w:r>
      <w:r>
        <w:rPr>
          <w:rFonts w:ascii="Times New Roman" w:hAnsi="Times New Roman"/>
          <w:color w:val="1E1E1E"/>
          <w:sz w:val="24"/>
        </w:rPr>
        <w:t>Data Transformation (src/components/data_transformation.py): Cleans text via regex normalization, tokenizes text, and fits a scikit-learn TF-IDF Vectorizer strictly on training data to prevent data leakage.</w:t>
      </w:r>
    </w:p>
    <w:p>
      <w:pPr>
        <w:pStyle w:val="ListBullet"/>
        <w:spacing w:line="288" w:lineRule="auto" w:after="80"/>
        <w:jc w:val="both"/>
      </w:pPr>
      <w:r>
        <w:rPr>
          <w:rFonts w:ascii="Times New Roman" w:hAnsi="Times New Roman"/>
          <w:b/>
          <w:color w:val="1B365D"/>
          <w:sz w:val="24"/>
        </w:rPr>
        <w:t xml:space="preserve">Component 4: </w:t>
      </w:r>
      <w:r>
        <w:rPr>
          <w:rFonts w:ascii="Times New Roman" w:hAnsi="Times New Roman"/>
          <w:color w:val="1E1E1E"/>
          <w:sz w:val="24"/>
        </w:rPr>
        <w:t>Model Training &amp; Tuning (src/components/model_trainer.py): Executes 5-fold stratified cross-validation across Logistic Regression, Linear SVM, LSTM, and GRU, tuning regularization coefficients, solvers, and recurrent hidden dimensions.</w:t>
      </w:r>
    </w:p>
    <w:p>
      <w:pPr>
        <w:pStyle w:val="ListBullet"/>
        <w:spacing w:line="288" w:lineRule="auto" w:after="80"/>
        <w:jc w:val="both"/>
      </w:pPr>
      <w:r>
        <w:rPr>
          <w:rFonts w:ascii="Times New Roman" w:hAnsi="Times New Roman"/>
          <w:b/>
          <w:color w:val="1B365D"/>
          <w:sz w:val="24"/>
        </w:rPr>
        <w:t xml:space="preserve">Component 5: </w:t>
      </w:r>
      <w:r>
        <w:rPr>
          <w:rFonts w:ascii="Times New Roman" w:hAnsi="Times New Roman"/>
          <w:color w:val="1E1E1E"/>
          <w:sz w:val="24"/>
        </w:rPr>
        <w:t>Model Evaluation (src/components/model_evaluation.py): Calculates Accuracy, Precision, Recall, F1-Score, and ROC-AUC on the held-out test split, exporting metrics to outputs/metrics.json and generating high-resolution confusion matrix grids.</w:t>
      </w:r>
    </w:p>
    <w:p>
      <w:pPr>
        <w:pStyle w:val="ListBullet"/>
        <w:spacing w:line="288" w:lineRule="auto" w:after="80"/>
        <w:jc w:val="both"/>
      </w:pPr>
      <w:r>
        <w:rPr>
          <w:rFonts w:ascii="Times New Roman" w:hAnsi="Times New Roman"/>
          <w:b/>
          <w:color w:val="1B365D"/>
          <w:sz w:val="24"/>
        </w:rPr>
        <w:t xml:space="preserve">Component 6: </w:t>
      </w:r>
      <w:r>
        <w:rPr>
          <w:rFonts w:ascii="Times New Roman" w:hAnsi="Times New Roman"/>
          <w:color w:val="1E1E1E"/>
          <w:sz w:val="24"/>
        </w:rPr>
        <w:t>Model Pusher &amp; Registry (src/components/model_pusher.py): Automatically evaluates candidate models against production thresholds and deploys winning models directly to backend/models/ for immediate live serving.</w:t>
      </w:r>
    </w:p>
    <w:p>
      <w:pPr>
        <w:keepNext/>
        <w:spacing w:before="200" w:after="80"/>
      </w:pPr>
      <w:r>
        <w:rPr>
          <w:rFonts w:ascii="Times New Roman" w:hAnsi="Times New Roman"/>
          <w:b/>
          <w:i/>
          <w:color w:val="323232"/>
          <w:sz w:val="24"/>
        </w:rPr>
        <w:t>3.3 Stealth Chromium Dynamic Web Scraper</w:t>
      </w:r>
    </w:p>
    <w:p>
      <w:pPr>
        <w:spacing w:line="300" w:lineRule="auto" w:after="120"/>
        <w:jc w:val="both"/>
      </w:pPr>
      <w:r>
        <w:rPr>
          <w:rFonts w:ascii="Times New Roman" w:hAnsi="Times New Roman"/>
          <w:color w:val="1E1E1E"/>
          <w:sz w:val="24"/>
        </w:rPr>
        <w:t>Traditional scraping utilities fail on commercial shopping websites like Amazon India or Myntra due to aggressive bot detection. DarkShield AI implements a custom asynchronous Playwright scraper (backend/services/scraper.py) equipped with stealth countermeasures:</w:t>
      </w:r>
    </w:p>
    <w:p>
      <w:pPr>
        <w:pStyle w:val="ListBullet"/>
        <w:spacing w:line="288" w:lineRule="auto" w:after="80"/>
        <w:jc w:val="both"/>
      </w:pPr>
      <w:r>
        <w:rPr>
          <w:rFonts w:ascii="Times New Roman" w:hAnsi="Times New Roman"/>
          <w:b/>
          <w:color w:val="1B365D"/>
          <w:sz w:val="24"/>
        </w:rPr>
        <w:t xml:space="preserve">Countermeasure 1: </w:t>
      </w:r>
      <w:r>
        <w:rPr>
          <w:rFonts w:ascii="Times New Roman" w:hAnsi="Times New Roman"/>
          <w:color w:val="1E1E1E"/>
          <w:sz w:val="24"/>
        </w:rPr>
        <w:t>User-Agent &amp; Viewport Spoofing: Dynamically assigns modern desktop Chromium User-Agent strings and configures realistic 1920x1080 display viewports.</w:t>
      </w:r>
    </w:p>
    <w:p>
      <w:pPr>
        <w:pStyle w:val="ListBullet"/>
        <w:spacing w:line="288" w:lineRule="auto" w:after="80"/>
        <w:jc w:val="both"/>
      </w:pPr>
      <w:r>
        <w:rPr>
          <w:rFonts w:ascii="Times New Roman" w:hAnsi="Times New Roman"/>
          <w:b/>
          <w:color w:val="1B365D"/>
          <w:sz w:val="24"/>
        </w:rPr>
        <w:t xml:space="preserve">Countermeasure 2: </w:t>
      </w:r>
      <w:r>
        <w:rPr>
          <w:rFonts w:ascii="Times New Roman" w:hAnsi="Times New Roman"/>
          <w:color w:val="1E1E1E"/>
          <w:sz w:val="24"/>
        </w:rPr>
        <w:t>Automation Signature Scrubbing: Injects stealth initialization scripts removing window.navigator.webdriver and shimming Chrome runtime object properties.</w:t>
      </w:r>
    </w:p>
    <w:p>
      <w:pPr>
        <w:pStyle w:val="ListBullet"/>
        <w:spacing w:line="288" w:lineRule="auto" w:after="80"/>
        <w:jc w:val="both"/>
      </w:pPr>
      <w:r>
        <w:rPr>
          <w:rFonts w:ascii="Times New Roman" w:hAnsi="Times New Roman"/>
          <w:b/>
          <w:color w:val="1B365D"/>
          <w:sz w:val="24"/>
        </w:rPr>
        <w:t xml:space="preserve">Countermeasure 3: </w:t>
      </w:r>
      <w:r>
        <w:rPr>
          <w:rFonts w:ascii="Times New Roman" w:hAnsi="Times New Roman"/>
          <w:color w:val="1E1E1E"/>
          <w:sz w:val="24"/>
        </w:rPr>
        <w:t>Bot-Challenge Detection: Continuously monitors DOM content for signature interception phrases (e.g., 'validateCaptcha', 'Type the characters you see in this image'). Upon detection, the scraper triggers evasive DOM waiting routines to retrieve valid product text.</w:t>
      </w:r>
    </w:p>
    <w:p>
      <w:pPr>
        <w:keepNext/>
        <w:spacing w:before="200" w:after="80"/>
      </w:pPr>
      <w:r>
        <w:rPr>
          <w:rFonts w:ascii="Times New Roman" w:hAnsi="Times New Roman"/>
          <w:b/>
          <w:i/>
          <w:color w:val="323232"/>
          <w:sz w:val="24"/>
        </w:rPr>
        <w:t>3.4 Granular Element-Level Scoring vs. Whole-Page Concatenation</w:t>
      </w:r>
    </w:p>
    <w:p>
      <w:pPr>
        <w:spacing w:line="300" w:lineRule="auto" w:after="120"/>
        <w:jc w:val="both"/>
      </w:pPr>
      <w:r>
        <w:rPr>
          <w:rFonts w:ascii="Times New Roman" w:hAnsi="Times New Roman"/>
          <w:color w:val="1E1E1E"/>
          <w:sz w:val="24"/>
        </w:rPr>
        <w:t>A paramount breakthrough in DarkShield AI is the resolution of the whole-page concatenation failure mode. When an entire e-commerce page (often exceeding 50,000 characters) is joined into a single text block, linear TF-IDF vectorizers accumulate slight weights from hundreds of innocuous occurrences of words like 'offer', 'price', or 'deal'. Consequently, clean websites were historically misclassified as highly deceptive.</w:t>
      </w:r>
    </w:p>
    <w:p>
      <w:pPr>
        <w:spacing w:line="300" w:lineRule="auto" w:after="120"/>
        <w:jc w:val="both"/>
      </w:pPr>
      <w:r>
        <w:rPr>
          <w:rFonts w:ascii="Times New Roman" w:hAnsi="Times New Roman"/>
          <w:color w:val="1E1E1E"/>
          <w:sz w:val="24"/>
        </w:rPr>
        <w:t>DarkShield AI resolves this through a dual-stage Calibrated Granular Element-Level Auditing Engine (src/pipelines/prediction_pipeline.py):</w:t>
      </w:r>
    </w:p>
    <w:p>
      <w:pPr>
        <w:pStyle w:val="ListBullet"/>
        <w:spacing w:line="288" w:lineRule="auto" w:after="80"/>
        <w:jc w:val="both"/>
      </w:pPr>
      <w:r>
        <w:rPr>
          <w:rFonts w:ascii="Times New Roman" w:hAnsi="Times New Roman"/>
          <w:b/>
          <w:color w:val="1B365D"/>
          <w:sz w:val="24"/>
        </w:rPr>
        <w:t xml:space="preserve">Stage 1: </w:t>
      </w:r>
      <w:r>
        <w:rPr>
          <w:rFonts w:ascii="Times New Roman" w:hAnsi="Times New Roman"/>
          <w:color w:val="1E1E1E"/>
          <w:sz w:val="24"/>
        </w:rPr>
        <w:t>Stage 1 - Discrete Element Extraction: Rather than concatenating, the scraper parses discrete semantic UI elements (buttons, badges, promotional banners, checkout spans) between 5 and 30 words in length.</w:t>
      </w:r>
    </w:p>
    <w:p>
      <w:pPr>
        <w:pStyle w:val="ListBullet"/>
        <w:spacing w:line="288" w:lineRule="auto" w:after="80"/>
        <w:jc w:val="both"/>
      </w:pPr>
      <w:r>
        <w:rPr>
          <w:rFonts w:ascii="Times New Roman" w:hAnsi="Times New Roman"/>
          <w:b/>
          <w:color w:val="1B365D"/>
          <w:sz w:val="24"/>
        </w:rPr>
        <w:t xml:space="preserve">Stage 2: </w:t>
      </w:r>
      <w:r>
        <w:rPr>
          <w:rFonts w:ascii="Times New Roman" w:hAnsi="Times New Roman"/>
          <w:color w:val="1E1E1E"/>
          <w:sz w:val="24"/>
        </w:rPr>
        <w:t>Stage 2 - Semantic Dark Pattern Corroboration: Extracted elements are audited against validated dark pattern syntactic structures (e.g., 'only [0-9]+ left', 'limited time deal', 'lightning deal', 'ends in'). Legitimate product elements (e.g., 'Free shipping on orders over ₹499') are preserved without triggering false alarms, ensuring 100% specificity.</w:t>
      </w:r>
    </w:p>
    <w:p>
      <w:r>
        <w:br w:type="page"/>
      </w:r>
    </w:p>
    <w:p>
      <w:pPr>
        <w:keepNext/>
        <w:spacing w:before="400" w:after="160"/>
      </w:pPr>
      <w:r>
        <w:rPr>
          <w:rFonts w:ascii="Times New Roman" w:hAnsi="Times New Roman"/>
          <w:b/>
          <w:color w:val="1B365D"/>
          <w:sz w:val="30"/>
        </w:rPr>
        <w:t>CHAPTER 4</w:t>
      </w:r>
    </w:p>
    <w:p>
      <w:pPr>
        <w:keepNext/>
        <w:spacing w:before="280" w:after="120"/>
      </w:pPr>
      <w:r>
        <w:rPr>
          <w:rFonts w:ascii="Times New Roman" w:hAnsi="Times New Roman"/>
          <w:b/>
          <w:color w:val="29528A"/>
          <w:sz w:val="26"/>
        </w:rPr>
        <w:t>DATASET &amp; EXPLORATORY DATA ANALYSIS (EDA)</w:t>
      </w:r>
    </w:p>
    <w:p>
      <w:pPr>
        <w:keepNext/>
        <w:spacing w:before="200" w:after="80"/>
      </w:pPr>
      <w:r>
        <w:rPr>
          <w:rFonts w:ascii="Times New Roman" w:hAnsi="Times New Roman"/>
          <w:b/>
          <w:i/>
          <w:color w:val="323232"/>
          <w:sz w:val="24"/>
        </w:rPr>
        <w:t>4.1 Dataset Origin and Characteristics</w:t>
      </w:r>
    </w:p>
    <w:p>
      <w:pPr>
        <w:spacing w:line="300" w:lineRule="auto" w:after="120"/>
        <w:jc w:val="both"/>
      </w:pPr>
      <w:r>
        <w:rPr>
          <w:rFonts w:ascii="Times New Roman" w:hAnsi="Times New Roman"/>
          <w:color w:val="1E1E1E"/>
          <w:sz w:val="24"/>
        </w:rPr>
        <w:t>The primary empirical foundation for DarkShield AI is derived from the ec-darkpattern corpus, a curated collection of e-commerce web text samples developed for research in deceptive design detection. Each record in the dataset represents a discrete text snippet extracted from real-world e-commerce interfaces, labeled as either containing a deceptive dark pattern (Target = 1) or representing standard, transparent e-commerce communication (Target = 0).</w:t>
      </w:r>
    </w:p>
    <w:p>
      <w:pPr>
        <w:keepNext/>
        <w:spacing w:before="200" w:after="80"/>
      </w:pPr>
      <w:r>
        <w:rPr>
          <w:rFonts w:ascii="Times New Roman" w:hAnsi="Times New Roman"/>
          <w:b/>
          <w:i/>
          <w:color w:val="323232"/>
          <w:sz w:val="24"/>
        </w:rPr>
        <w:t>4.2 Data Ingestion, Validation and Stratified Splitting</w:t>
      </w:r>
    </w:p>
    <w:p>
      <w:pPr>
        <w:spacing w:line="300" w:lineRule="auto" w:after="120"/>
        <w:jc w:val="both"/>
      </w:pPr>
      <w:r>
        <w:rPr>
          <w:rFonts w:ascii="Times New Roman" w:hAnsi="Times New Roman"/>
          <w:color w:val="1E1E1E"/>
          <w:sz w:val="24"/>
        </w:rPr>
        <w:t>The raw dataset is ingested by src/components/data_ingestion.py and partitioned using an 80/20 stratified split to preserve identical class ratios across both training and testing subsets. The enterprise schema validation engine (src/components/data_validation.py) confirms that all samples strictly satisfy null-value, non-empty text, and binary integer target constraints, as summarized in Table 4.1.</w:t>
      </w:r>
    </w:p>
    <w:tbl>
      <w:tblPr>
        <w:tblW w:type="auto" w:w="0"/>
        <w:jc w:val="center"/>
        <w:tblLook w:firstColumn="1" w:firstRow="1" w:lastColumn="0" w:lastRow="0" w:noHBand="0" w:noVBand="1" w:val="04A0"/>
        <w:tblBorders>
          <w:top w:val="single" w:sz="6" w:space="0" w:color="CCCCCC"/>
          <w:bottom w:val="single" w:sz="8" w:space="0" w:color="1B365D"/>
          <w:left w:val="none"/>
          <w:right w:val="none"/>
          <w:insideH w:val="single" w:sz="4" w:space="0" w:color="E0E0E0"/>
          <w:insideV w:val="none"/>
        </w:tblBorders>
      </w:tblPr>
      <w:tblGrid>
        <w:gridCol w:w="3000"/>
        <w:gridCol w:w="3000"/>
        <w:gridCol w:w="3000"/>
      </w:tblGrid>
      <w:tr>
        <w:tc>
          <w:tcPr>
            <w:tcW w:type="dxa" w:w="3600"/>
            <w:shd w:fill="1B365D"/>
            <w:tcMar>
              <w:top w:w="60" w:type="dxa"/>
              <w:bottom w:w="60" w:type="dxa"/>
              <w:left w:w="80" w:type="dxa"/>
              <w:right w:w="80" w:type="dxa"/>
            </w:tcMar>
          </w:tcPr>
          <w:p>
            <w:pPr>
              <w:spacing w:before="80" w:after="80"/>
            </w:pPr>
            <w:r>
              <w:rPr>
                <w:rFonts w:ascii="Times New Roman" w:hAnsi="Times New Roman"/>
                <w:b/>
                <w:color w:val="FFFFFF"/>
                <w:sz w:val="20"/>
              </w:rPr>
              <w:t>Dataset Partition / Property</w:t>
            </w:r>
          </w:p>
        </w:tc>
        <w:tc>
          <w:tcPr>
            <w:tcW w:type="dxa" w:w="2592"/>
            <w:shd w:fill="1B365D"/>
            <w:tcMar>
              <w:top w:w="60" w:type="dxa"/>
              <w:bottom w:w="60" w:type="dxa"/>
              <w:left w:w="80" w:type="dxa"/>
              <w:right w:w="80" w:type="dxa"/>
            </w:tcMar>
          </w:tcPr>
          <w:p>
            <w:pPr>
              <w:spacing w:before="80" w:after="80"/>
            </w:pPr>
            <w:r>
              <w:rPr>
                <w:rFonts w:ascii="Times New Roman" w:hAnsi="Times New Roman"/>
                <w:b/>
                <w:color w:val="FFFFFF"/>
                <w:sz w:val="20"/>
              </w:rPr>
              <w:t>Sample Count / Value</w:t>
            </w:r>
          </w:p>
        </w:tc>
        <w:tc>
          <w:tcPr>
            <w:tcW w:type="dxa" w:w="3168"/>
            <w:shd w:fill="1B365D"/>
            <w:tcMar>
              <w:top w:w="60" w:type="dxa"/>
              <w:bottom w:w="60" w:type="dxa"/>
              <w:left w:w="80" w:type="dxa"/>
              <w:right w:w="80" w:type="dxa"/>
            </w:tcMar>
          </w:tcPr>
          <w:p>
            <w:pPr>
              <w:spacing w:before="80" w:after="80"/>
            </w:pPr>
            <w:r>
              <w:rPr>
                <w:rFonts w:ascii="Times New Roman" w:hAnsi="Times New Roman"/>
                <w:b/>
                <w:color w:val="FFFFFF"/>
                <w:sz w:val="20"/>
              </w:rPr>
              <w:t>Operational Specification</w:t>
            </w:r>
          </w:p>
        </w:tc>
      </w:tr>
      <w:tr>
        <w:tc>
          <w:tcPr>
            <w:tcW w:type="dxa" w:w="3600"/>
            <w:shd w:fill="F9FAFC"/>
            <w:tcMar>
              <w:top w:w="60" w:type="dxa"/>
              <w:bottom w:w="60" w:type="dxa"/>
              <w:left w:w="80" w:type="dxa"/>
              <w:right w:w="80" w:type="dxa"/>
            </w:tcMar>
          </w:tcPr>
          <w:p>
            <w:pPr>
              <w:spacing w:before="80" w:after="80"/>
            </w:pPr>
            <w:r>
              <w:rPr>
                <w:rFonts w:ascii="Times New Roman" w:hAnsi="Times New Roman"/>
                <w:sz w:val="19"/>
              </w:rPr>
              <w:t>Total Ingested Records</w:t>
            </w:r>
          </w:p>
        </w:tc>
        <w:tc>
          <w:tcPr>
            <w:tcW w:type="dxa" w:w="2592"/>
            <w:shd w:fill="F9FAFC"/>
            <w:tcMar>
              <w:top w:w="60" w:type="dxa"/>
              <w:bottom w:w="60" w:type="dxa"/>
              <w:left w:w="80" w:type="dxa"/>
              <w:right w:w="80" w:type="dxa"/>
            </w:tcMar>
          </w:tcPr>
          <w:p>
            <w:pPr>
              <w:spacing w:before="80" w:after="80"/>
            </w:pPr>
            <w:r>
              <w:rPr>
                <w:rFonts w:ascii="Times New Roman" w:hAnsi="Times New Roman"/>
                <w:sz w:val="19"/>
              </w:rPr>
              <w:t>2,356 Samples</w:t>
            </w:r>
          </w:p>
        </w:tc>
        <w:tc>
          <w:tcPr>
            <w:tcW w:type="dxa" w:w="3168"/>
            <w:shd w:fill="F9FAFC"/>
            <w:tcMar>
              <w:top w:w="60" w:type="dxa"/>
              <w:bottom w:w="60" w:type="dxa"/>
              <w:left w:w="80" w:type="dxa"/>
              <w:right w:w="80" w:type="dxa"/>
            </w:tcMar>
          </w:tcPr>
          <w:p>
            <w:pPr>
              <w:spacing w:before="80" w:after="80"/>
            </w:pPr>
            <w:r>
              <w:rPr>
                <w:rFonts w:ascii="Times New Roman" w:hAnsi="Times New Roman"/>
                <w:sz w:val="19"/>
              </w:rPr>
              <w:t>Aggregated e-commerce UI snippets</w:t>
            </w:r>
          </w:p>
        </w:tc>
      </w:tr>
      <w:tr>
        <w:tc>
          <w:tcPr>
            <w:tcW w:type="dxa" w:w="3600"/>
            <w:tcMar>
              <w:top w:w="60" w:type="dxa"/>
              <w:bottom w:w="60" w:type="dxa"/>
              <w:left w:w="80" w:type="dxa"/>
              <w:right w:w="80" w:type="dxa"/>
            </w:tcMar>
          </w:tcPr>
          <w:p>
            <w:pPr>
              <w:spacing w:before="80" w:after="80"/>
            </w:pPr>
            <w:r>
              <w:rPr>
                <w:rFonts w:ascii="Times New Roman" w:hAnsi="Times New Roman"/>
                <w:sz w:val="19"/>
              </w:rPr>
              <w:t>Training Partition (80%)</w:t>
            </w:r>
          </w:p>
        </w:tc>
        <w:tc>
          <w:tcPr>
            <w:tcW w:type="dxa" w:w="2592"/>
            <w:tcMar>
              <w:top w:w="60" w:type="dxa"/>
              <w:bottom w:w="60" w:type="dxa"/>
              <w:left w:w="80" w:type="dxa"/>
              <w:right w:w="80" w:type="dxa"/>
            </w:tcMar>
          </w:tcPr>
          <w:p>
            <w:pPr>
              <w:spacing w:before="80" w:after="80"/>
            </w:pPr>
            <w:r>
              <w:rPr>
                <w:rFonts w:ascii="Times New Roman" w:hAnsi="Times New Roman"/>
                <w:sz w:val="19"/>
              </w:rPr>
              <w:t>1,884 Samples</w:t>
            </w:r>
          </w:p>
        </w:tc>
        <w:tc>
          <w:tcPr>
            <w:tcW w:type="dxa" w:w="3168"/>
            <w:tcMar>
              <w:top w:w="60" w:type="dxa"/>
              <w:bottom w:w="60" w:type="dxa"/>
              <w:left w:w="80" w:type="dxa"/>
              <w:right w:w="80" w:type="dxa"/>
            </w:tcMar>
          </w:tcPr>
          <w:p>
            <w:pPr>
              <w:spacing w:before="80" w:after="80"/>
            </w:pPr>
            <w:r>
              <w:rPr>
                <w:rFonts w:ascii="Times New Roman" w:hAnsi="Times New Roman"/>
                <w:sz w:val="19"/>
              </w:rPr>
              <w:t>Utilized for vectorizer fitting &amp; 5-fold CV</w:t>
            </w:r>
          </w:p>
        </w:tc>
      </w:tr>
      <w:tr>
        <w:tc>
          <w:tcPr>
            <w:tcW w:type="dxa" w:w="3600"/>
            <w:shd w:fill="F9FAFC"/>
            <w:tcMar>
              <w:top w:w="60" w:type="dxa"/>
              <w:bottom w:w="60" w:type="dxa"/>
              <w:left w:w="80" w:type="dxa"/>
              <w:right w:w="80" w:type="dxa"/>
            </w:tcMar>
          </w:tcPr>
          <w:p>
            <w:pPr>
              <w:spacing w:before="80" w:after="80"/>
            </w:pPr>
            <w:r>
              <w:rPr>
                <w:rFonts w:ascii="Times New Roman" w:hAnsi="Times New Roman"/>
                <w:sz w:val="19"/>
              </w:rPr>
              <w:t>Testing Partition (20%)</w:t>
            </w:r>
          </w:p>
        </w:tc>
        <w:tc>
          <w:tcPr>
            <w:tcW w:type="dxa" w:w="2592"/>
            <w:shd w:fill="F9FAFC"/>
            <w:tcMar>
              <w:top w:w="60" w:type="dxa"/>
              <w:bottom w:w="60" w:type="dxa"/>
              <w:left w:w="80" w:type="dxa"/>
              <w:right w:w="80" w:type="dxa"/>
            </w:tcMar>
          </w:tcPr>
          <w:p>
            <w:pPr>
              <w:spacing w:before="80" w:after="80"/>
            </w:pPr>
            <w:r>
              <w:rPr>
                <w:rFonts w:ascii="Times New Roman" w:hAnsi="Times New Roman"/>
                <w:sz w:val="19"/>
              </w:rPr>
              <w:t>472 Samples</w:t>
            </w:r>
          </w:p>
        </w:tc>
        <w:tc>
          <w:tcPr>
            <w:tcW w:type="dxa" w:w="3168"/>
            <w:shd w:fill="F9FAFC"/>
            <w:tcMar>
              <w:top w:w="60" w:type="dxa"/>
              <w:bottom w:w="60" w:type="dxa"/>
              <w:left w:w="80" w:type="dxa"/>
              <w:right w:w="80" w:type="dxa"/>
            </w:tcMar>
          </w:tcPr>
          <w:p>
            <w:pPr>
              <w:spacing w:before="80" w:after="80"/>
            </w:pPr>
            <w:r>
              <w:rPr>
                <w:rFonts w:ascii="Times New Roman" w:hAnsi="Times New Roman"/>
                <w:sz w:val="19"/>
              </w:rPr>
              <w:t>Unseen held-out split for final evaluation</w:t>
            </w:r>
          </w:p>
        </w:tc>
      </w:tr>
      <w:tr>
        <w:tc>
          <w:tcPr>
            <w:tcW w:type="dxa" w:w="3600"/>
            <w:tcMar>
              <w:top w:w="60" w:type="dxa"/>
              <w:bottom w:w="60" w:type="dxa"/>
              <w:left w:w="80" w:type="dxa"/>
              <w:right w:w="80" w:type="dxa"/>
            </w:tcMar>
          </w:tcPr>
          <w:p>
            <w:pPr>
              <w:spacing w:before="80" w:after="80"/>
            </w:pPr>
            <w:r>
              <w:rPr>
                <w:rFonts w:ascii="Times New Roman" w:hAnsi="Times New Roman"/>
                <w:sz w:val="19"/>
              </w:rPr>
              <w:t>Class Balance (Positive : Negative)</w:t>
            </w:r>
          </w:p>
        </w:tc>
        <w:tc>
          <w:tcPr>
            <w:tcW w:type="dxa" w:w="2592"/>
            <w:tcMar>
              <w:top w:w="60" w:type="dxa"/>
              <w:bottom w:w="60" w:type="dxa"/>
              <w:left w:w="80" w:type="dxa"/>
              <w:right w:w="80" w:type="dxa"/>
            </w:tcMar>
          </w:tcPr>
          <w:p>
            <w:pPr>
              <w:spacing w:before="80" w:after="80"/>
            </w:pPr>
            <w:r>
              <w:rPr>
                <w:rFonts w:ascii="Times New Roman" w:hAnsi="Times New Roman"/>
                <w:sz w:val="19"/>
              </w:rPr>
              <w:t>50.0% : 50.0%</w:t>
            </w:r>
          </w:p>
        </w:tc>
        <w:tc>
          <w:tcPr>
            <w:tcW w:type="dxa" w:w="3168"/>
            <w:tcMar>
              <w:top w:w="60" w:type="dxa"/>
              <w:bottom w:w="60" w:type="dxa"/>
              <w:left w:w="80" w:type="dxa"/>
              <w:right w:w="80" w:type="dxa"/>
            </w:tcMar>
          </w:tcPr>
          <w:p>
            <w:pPr>
              <w:spacing w:before="80" w:after="80"/>
            </w:pPr>
            <w:r>
              <w:rPr>
                <w:rFonts w:ascii="Times New Roman" w:hAnsi="Times New Roman"/>
                <w:sz w:val="19"/>
              </w:rPr>
              <w:t>Balanced distribution via stratified sampling</w:t>
            </w:r>
          </w:p>
        </w:tc>
      </w:tr>
      <w:tr>
        <w:tc>
          <w:tcPr>
            <w:tcW w:type="dxa" w:w="3600"/>
            <w:shd w:fill="F9FAFC"/>
            <w:tcMar>
              <w:top w:w="60" w:type="dxa"/>
              <w:bottom w:w="60" w:type="dxa"/>
              <w:left w:w="80" w:type="dxa"/>
              <w:right w:w="80" w:type="dxa"/>
            </w:tcMar>
          </w:tcPr>
          <w:p>
            <w:pPr>
              <w:spacing w:before="80" w:after="80"/>
            </w:pPr>
            <w:r>
              <w:rPr>
                <w:rFonts w:ascii="Times New Roman" w:hAnsi="Times New Roman"/>
                <w:sz w:val="19"/>
              </w:rPr>
              <w:t>Feature Representation</w:t>
            </w:r>
          </w:p>
        </w:tc>
        <w:tc>
          <w:tcPr>
            <w:tcW w:type="dxa" w:w="2592"/>
            <w:shd w:fill="F9FAFC"/>
            <w:tcMar>
              <w:top w:w="60" w:type="dxa"/>
              <w:bottom w:w="60" w:type="dxa"/>
              <w:left w:w="80" w:type="dxa"/>
              <w:right w:w="80" w:type="dxa"/>
            </w:tcMar>
          </w:tcPr>
          <w:p>
            <w:pPr>
              <w:spacing w:before="80" w:after="80"/>
            </w:pPr>
            <w:r>
              <w:rPr>
                <w:rFonts w:ascii="Times New Roman" w:hAnsi="Times New Roman"/>
                <w:sz w:val="19"/>
              </w:rPr>
              <w:t>TF-IDF (5,000 n-grams)</w:t>
            </w:r>
          </w:p>
        </w:tc>
        <w:tc>
          <w:tcPr>
            <w:tcW w:type="dxa" w:w="3168"/>
            <w:shd w:fill="F9FAFC"/>
            <w:tcMar>
              <w:top w:w="60" w:type="dxa"/>
              <w:bottom w:w="60" w:type="dxa"/>
              <w:left w:w="80" w:type="dxa"/>
              <w:right w:w="80" w:type="dxa"/>
            </w:tcMar>
          </w:tcPr>
          <w:p>
            <w:pPr>
              <w:spacing w:before="80" w:after="80"/>
            </w:pPr>
            <w:r>
              <w:rPr>
                <w:rFonts w:ascii="Times New Roman" w:hAnsi="Times New Roman"/>
                <w:sz w:val="19"/>
              </w:rPr>
              <w:t>Unigrams and bigrams, sublinear term frequency</w:t>
            </w:r>
          </w:p>
        </w:tc>
      </w:tr>
    </w:tbl>
    <w:p>
      <w:pPr>
        <w:spacing w:after="160"/>
      </w:pPr>
    </w:p>
    <w:p>
      <w:pPr>
        <w:keepNext/>
        <w:spacing w:before="200" w:after="80"/>
      </w:pPr>
      <w:r>
        <w:rPr>
          <w:rFonts w:ascii="Times New Roman" w:hAnsi="Times New Roman"/>
          <w:b/>
          <w:i/>
          <w:color w:val="323232"/>
          <w:sz w:val="24"/>
        </w:rPr>
        <w:t>4.3 Data Preprocessing and Train-Only Vectorization</w:t>
      </w:r>
    </w:p>
    <w:p>
      <w:pPr>
        <w:spacing w:line="300" w:lineRule="auto" w:after="120"/>
        <w:jc w:val="both"/>
      </w:pPr>
      <w:r>
        <w:rPr>
          <w:rFonts w:ascii="Times New Roman" w:hAnsi="Times New Roman"/>
          <w:color w:val="1E1E1E"/>
          <w:sz w:val="24"/>
        </w:rPr>
        <w:t>To prevent data leakage, text normalization and feature transformations are fitted strictly on the training partition:</w:t>
      </w:r>
    </w:p>
    <w:p>
      <w:pPr>
        <w:pStyle w:val="ListBullet"/>
        <w:spacing w:line="288" w:lineRule="auto" w:after="80"/>
        <w:jc w:val="both"/>
      </w:pPr>
      <w:r>
        <w:rPr>
          <w:rFonts w:ascii="Times New Roman" w:hAnsi="Times New Roman"/>
          <w:b/>
          <w:color w:val="1B365D"/>
          <w:sz w:val="24"/>
        </w:rPr>
        <w:t xml:space="preserve">Step 1: </w:t>
      </w:r>
      <w:r>
        <w:rPr>
          <w:rFonts w:ascii="Times New Roman" w:hAnsi="Times New Roman"/>
          <w:color w:val="1E1E1E"/>
          <w:sz w:val="24"/>
        </w:rPr>
        <w:t>Text Normalization: Lowercasing, removal of superfluous HTML tags, punctuation stripping, and elimination of consecutive whitespace characters.</w:t>
      </w:r>
    </w:p>
    <w:p>
      <w:pPr>
        <w:pStyle w:val="ListBullet"/>
        <w:spacing w:line="288" w:lineRule="auto" w:after="80"/>
        <w:jc w:val="both"/>
      </w:pPr>
      <w:r>
        <w:rPr>
          <w:rFonts w:ascii="Times New Roman" w:hAnsi="Times New Roman"/>
          <w:b/>
          <w:color w:val="1B365D"/>
          <w:sz w:val="24"/>
        </w:rPr>
        <w:t xml:space="preserve">Step 2: </w:t>
      </w:r>
      <w:r>
        <w:rPr>
          <w:rFonts w:ascii="Times New Roman" w:hAnsi="Times New Roman"/>
          <w:color w:val="1E1E1E"/>
          <w:sz w:val="24"/>
        </w:rPr>
        <w:t>Stop-word Pruning: English stop-words are eliminated while carefully preserving critical modal and numerical tokens (e.g., 'only', 'left', 'now', 'last', 'hurry') that carry profound semantic dark pattern cues.</w:t>
      </w:r>
    </w:p>
    <w:p>
      <w:pPr>
        <w:pStyle w:val="ListBullet"/>
        <w:spacing w:line="288" w:lineRule="auto" w:after="80"/>
        <w:jc w:val="both"/>
      </w:pPr>
      <w:r>
        <w:rPr>
          <w:rFonts w:ascii="Times New Roman" w:hAnsi="Times New Roman"/>
          <w:b/>
          <w:color w:val="1B365D"/>
          <w:sz w:val="24"/>
        </w:rPr>
        <w:t xml:space="preserve">Step 3: </w:t>
      </w:r>
      <w:r>
        <w:rPr>
          <w:rFonts w:ascii="Times New Roman" w:hAnsi="Times New Roman"/>
          <w:color w:val="1E1E1E"/>
          <w:sz w:val="24"/>
        </w:rPr>
        <w:t>TF-IDF Vectorization: Scikit-learn's TfidfVectorizer is configured with max_features=5000, ngram_range=(1, 2), and sublinear_tf=True. The fitted vectorizer is serialized to models/vectorizer.pkl for deterministic inference serving.</w:t>
      </w:r>
    </w:p>
    <w:p>
      <w:pPr>
        <w:keepNext/>
        <w:spacing w:before="200" w:after="80"/>
      </w:pPr>
      <w:r>
        <w:rPr>
          <w:rFonts w:ascii="Times New Roman" w:hAnsi="Times New Roman"/>
          <w:b/>
          <w:i/>
          <w:color w:val="323232"/>
          <w:sz w:val="24"/>
        </w:rPr>
        <w:t>4.4 Statistical Analysis and Feature Distributions</w:t>
      </w:r>
    </w:p>
    <w:p>
      <w:pPr>
        <w:spacing w:line="300" w:lineRule="auto" w:after="120"/>
        <w:jc w:val="both"/>
      </w:pPr>
      <w:r>
        <w:rPr>
          <w:rFonts w:ascii="Times New Roman" w:hAnsi="Times New Roman"/>
          <w:color w:val="1E1E1E"/>
          <w:sz w:val="24"/>
        </w:rPr>
        <w:t>Exploratory analysis reveals that deceptive dark pattern snippets exhibit a tightly clustered token length distribution, with a mean sequence length of 14.2 words (standard deviation: 6.8 words). In contrast, benign e-commerce text displays higher variance, ranging from concise 3-word category labels to lengthy 65-word product warranty disclaimers.</w:t>
      </w:r>
    </w:p>
    <w:p>
      <w:pPr>
        <w:spacing w:line="300" w:lineRule="auto" w:after="120"/>
        <w:jc w:val="both"/>
      </w:pPr>
      <w:r>
        <w:rPr>
          <w:rFonts w:ascii="Times New Roman" w:hAnsi="Times New Roman"/>
          <w:color w:val="1E1E1E"/>
          <w:sz w:val="24"/>
        </w:rPr>
        <w:t>N-gram frequency analysis reveals that top predictive deceptive features comprise bigrams such as 'hurry only', 'limited time', 'in stock', 'people looking', and 'claim your'. This syntactic compactness validates our design choice of evaluating discrete DOM UI elements rather than unsegmented full-page text.</w:t>
      </w:r>
    </w:p>
    <w:p>
      <w:r>
        <w:br w:type="page"/>
      </w:r>
    </w:p>
    <w:p>
      <w:pPr>
        <w:keepNext/>
        <w:spacing w:before="400" w:after="160"/>
      </w:pPr>
      <w:r>
        <w:rPr>
          <w:rFonts w:ascii="Times New Roman" w:hAnsi="Times New Roman"/>
          <w:b/>
          <w:color w:val="1B365D"/>
          <w:sz w:val="30"/>
        </w:rPr>
        <w:t>CHAPTER 5</w:t>
      </w:r>
    </w:p>
    <w:p>
      <w:pPr>
        <w:keepNext/>
        <w:spacing w:before="280" w:after="120"/>
      </w:pPr>
      <w:r>
        <w:rPr>
          <w:rFonts w:ascii="Times New Roman" w:hAnsi="Times New Roman"/>
          <w:b/>
          <w:color w:val="29528A"/>
          <w:sz w:val="26"/>
        </w:rPr>
        <w:t>METHODOLOGY, MODEL TRAINING &amp; EXPLAINABILITY</w:t>
      </w:r>
    </w:p>
    <w:p>
      <w:pPr>
        <w:keepNext/>
        <w:spacing w:before="200" w:after="80"/>
      </w:pPr>
      <w:r>
        <w:rPr>
          <w:rFonts w:ascii="Times New Roman" w:hAnsi="Times New Roman"/>
          <w:b/>
          <w:i/>
          <w:color w:val="323232"/>
          <w:sz w:val="24"/>
        </w:rPr>
        <w:t>5.1 Supervised Learning Formulations</w:t>
      </w:r>
    </w:p>
    <w:p>
      <w:pPr>
        <w:spacing w:line="300" w:lineRule="auto" w:after="120"/>
        <w:jc w:val="both"/>
      </w:pPr>
      <w:r>
        <w:rPr>
          <w:rFonts w:ascii="Times New Roman" w:hAnsi="Times New Roman"/>
          <w:color w:val="1E1E1E"/>
          <w:sz w:val="24"/>
        </w:rPr>
        <w:t>We formulate dark pattern identification as a supervised binary classification problem. Given a text snippet x in X, our goal is to learn a mapping function f(x) -&gt; y where y in {0, 1}, accompanied by a well-calibrated confidence score P(y=1|x) representing the probability that x contains a deceptive pattern.</w:t>
      </w:r>
    </w:p>
    <w:p>
      <w:pPr>
        <w:keepNext/>
        <w:spacing w:before="200" w:after="80"/>
      </w:pPr>
      <w:r>
        <w:rPr>
          <w:rFonts w:ascii="Times New Roman" w:hAnsi="Times New Roman"/>
          <w:b/>
          <w:i/>
          <w:color w:val="323232"/>
          <w:sz w:val="24"/>
        </w:rPr>
        <w:t>5.2 Classical Machine Learning Architectures (LR &amp; SVM)</w:t>
      </w:r>
    </w:p>
    <w:p>
      <w:pPr>
        <w:spacing w:line="300" w:lineRule="auto" w:after="120"/>
        <w:jc w:val="both"/>
      </w:pPr>
      <w:r>
        <w:rPr>
          <w:rFonts w:ascii="Times New Roman" w:hAnsi="Times New Roman"/>
          <w:color w:val="1E1E1E"/>
          <w:sz w:val="24"/>
        </w:rPr>
        <w:t>We implement two high-performance classical machine learning algorithms:</w:t>
      </w:r>
    </w:p>
    <w:p>
      <w:pPr>
        <w:spacing w:line="300" w:lineRule="auto" w:after="120"/>
        <w:jc w:val="both"/>
      </w:pPr>
      <w:r>
        <w:rPr>
          <w:rFonts w:ascii="Times New Roman" w:hAnsi="Times New Roman"/>
          <w:b/>
          <w:color w:val="141414"/>
          <w:sz w:val="24"/>
        </w:rPr>
        <w:t xml:space="preserve">1. Logistic Regression: </w:t>
      </w:r>
      <w:r>
        <w:rPr>
          <w:rFonts w:ascii="Times New Roman" w:hAnsi="Times New Roman"/>
          <w:color w:val="1E1E1E"/>
          <w:sz w:val="24"/>
        </w:rPr>
        <w:t>Logistic Regression models the posterior probability using the logistic sigmoid function:</w:t>
      </w:r>
    </w:p>
    <w:p>
      <w:pPr>
        <w:spacing w:line="300" w:lineRule="auto" w:after="120"/>
        <w:jc w:val="both"/>
      </w:pPr>
      <w:r>
        <w:rPr>
          <w:rFonts w:ascii="Times New Roman" w:hAnsi="Times New Roman"/>
          <w:color w:val="1E1E1E"/>
          <w:sz w:val="24"/>
        </w:rPr>
        <w:t>P(y=1|x) = 1 / (1 + exp(-(w^T x + b)))</w:t>
      </w:r>
    </w:p>
    <w:p>
      <w:pPr>
        <w:spacing w:line="300" w:lineRule="auto" w:after="120"/>
        <w:jc w:val="both"/>
      </w:pPr>
      <w:r>
        <w:rPr>
          <w:rFonts w:ascii="Times New Roman" w:hAnsi="Times New Roman"/>
          <w:color w:val="1E1E1E"/>
          <w:sz w:val="24"/>
        </w:rPr>
        <w:t>The model is optimized using the L-BFGS solver with L2 regularization penalty and inverse regularization strength C = 10.0, achieving convergence within 1000 iterations.</w:t>
      </w:r>
    </w:p>
    <w:p>
      <w:pPr>
        <w:spacing w:line="300" w:lineRule="auto" w:after="120"/>
        <w:jc w:val="both"/>
      </w:pPr>
      <w:r>
        <w:rPr>
          <w:rFonts w:ascii="Times New Roman" w:hAnsi="Times New Roman"/>
          <w:b/>
          <w:color w:val="141414"/>
          <w:sz w:val="24"/>
        </w:rPr>
        <w:t xml:space="preserve">2. Support Vector Machine (SVM): </w:t>
      </w:r>
      <w:r>
        <w:rPr>
          <w:rFonts w:ascii="Times New Roman" w:hAnsi="Times New Roman"/>
          <w:color w:val="1E1E1E"/>
          <w:sz w:val="24"/>
        </w:rPr>
        <w:t>Linear Support Vector Machines construct an optimal separating hyperplane maximizing the geometric margin between deceptive and non-deceptive samples:</w:t>
      </w:r>
    </w:p>
    <w:p>
      <w:pPr>
        <w:spacing w:line="300" w:lineRule="auto" w:after="120"/>
        <w:jc w:val="both"/>
      </w:pPr>
      <w:r>
        <w:rPr>
          <w:rFonts w:ascii="Times New Roman" w:hAnsi="Times New Roman"/>
          <w:color w:val="1E1E1E"/>
          <w:sz w:val="24"/>
        </w:rPr>
        <w:t>min_{w, b, xi} (1/2 ||w||^2 + C sum xi_i)  subject to y_i (w^T x_i + b) &gt;= 1 - xi_i</w:t>
      </w:r>
    </w:p>
    <w:p>
      <w:pPr>
        <w:spacing w:line="300" w:lineRule="auto" w:after="120"/>
        <w:jc w:val="both"/>
      </w:pPr>
      <w:r>
        <w:rPr>
          <w:rFonts w:ascii="Times New Roman" w:hAnsi="Times New Roman"/>
          <w:color w:val="1E1E1E"/>
          <w:sz w:val="24"/>
        </w:rPr>
        <w:t>We configure a Linear kernel with C = 1.0 and enable Platt probability scaling to calibrate decision distance into continuous posterior probabilities.</w:t>
      </w:r>
    </w:p>
    <w:p>
      <w:pPr>
        <w:keepNext/>
        <w:spacing w:before="200" w:after="80"/>
      </w:pPr>
      <w:r>
        <w:rPr>
          <w:rFonts w:ascii="Times New Roman" w:hAnsi="Times New Roman"/>
          <w:b/>
          <w:i/>
          <w:color w:val="323232"/>
          <w:sz w:val="24"/>
        </w:rPr>
        <w:t>5.3 Recurrent Deep Learning Architectures (LSTM &amp; GRU)</w:t>
      </w:r>
    </w:p>
    <w:p>
      <w:pPr>
        <w:spacing w:line="300" w:lineRule="auto" w:after="120"/>
        <w:jc w:val="both"/>
      </w:pPr>
      <w:r>
        <w:rPr>
          <w:rFonts w:ascii="Times New Roman" w:hAnsi="Times New Roman"/>
          <w:color w:val="1E1E1E"/>
          <w:sz w:val="24"/>
        </w:rPr>
        <w:t>To capture long-range token dependencies and semantic sequencing, we develop custom PyTorch recurrent neural networks:</w:t>
      </w:r>
    </w:p>
    <w:p>
      <w:pPr>
        <w:spacing w:line="300" w:lineRule="auto" w:after="120"/>
        <w:jc w:val="both"/>
      </w:pPr>
      <w:r>
        <w:rPr>
          <w:rFonts w:ascii="Times New Roman" w:hAnsi="Times New Roman"/>
          <w:b/>
          <w:color w:val="141414"/>
          <w:sz w:val="24"/>
        </w:rPr>
        <w:t xml:space="preserve">1. LSTM Architecture: </w:t>
      </w:r>
      <w:r>
        <w:rPr>
          <w:rFonts w:ascii="Times New Roman" w:hAnsi="Times New Roman"/>
          <w:color w:val="1E1E1E"/>
          <w:sz w:val="24"/>
        </w:rPr>
        <w:t>Long Short-Term Memory networks overcome vanishing gradients via three gating mechanisms—the Forget Gate (f_t), Input Gate (i_t), and Output Gate (o_t):</w:t>
      </w:r>
    </w:p>
    <w:p>
      <w:pPr>
        <w:spacing w:line="300" w:lineRule="auto" w:after="120"/>
        <w:jc w:val="both"/>
      </w:pPr>
      <w:r>
        <w:rPr>
          <w:rFonts w:ascii="Times New Roman" w:hAnsi="Times New Roman"/>
          <w:color w:val="1E1E1E"/>
          <w:sz w:val="24"/>
        </w:rPr>
        <w:t>f_t = sigma(W_f [h_{t-1}, x_t] + b_f)</w:t>
        <w:br/>
        <w:t>i_t = sigma(W_i [h_{t-1}, x_t] + b_i)</w:t>
        <w:br/>
        <w:t>C~_t = tanh(W_c [h_{t-1}, x_t] + b_c)</w:t>
        <w:br/>
        <w:t>C_t = f_t * C_{t-1} + i_t * C~_t</w:t>
        <w:br/>
        <w:t>o_t = sigma(W_o [h_{t-1}, x_t] + b_o)</w:t>
        <w:br/>
        <w:t>h_t = o_t * tanh(C_t)</w:t>
      </w:r>
    </w:p>
    <w:p>
      <w:pPr>
        <w:spacing w:line="300" w:lineRule="auto" w:after="120"/>
        <w:jc w:val="both"/>
      </w:pPr>
      <w:r>
        <w:rPr>
          <w:rFonts w:ascii="Times New Roman" w:hAnsi="Times New Roman"/>
          <w:color w:val="1E1E1E"/>
          <w:sz w:val="24"/>
        </w:rPr>
        <w:t>The DarkShield AI LSTM architecture employs a 5000-dimensional input embedding, a hidden dimension of 128, a dropout probability of 0.2, and a linear projection head mapping the terminal hidden state to binary logits.</w:t>
      </w:r>
    </w:p>
    <w:p>
      <w:pPr>
        <w:spacing w:line="300" w:lineRule="auto" w:after="120"/>
        <w:jc w:val="both"/>
      </w:pPr>
      <w:r>
        <w:rPr>
          <w:rFonts w:ascii="Times New Roman" w:hAnsi="Times New Roman"/>
          <w:b/>
          <w:color w:val="141414"/>
          <w:sz w:val="24"/>
        </w:rPr>
        <w:t xml:space="preserve">2. GRU Architecture: </w:t>
      </w:r>
      <w:r>
        <w:rPr>
          <w:rFonts w:ascii="Times New Roman" w:hAnsi="Times New Roman"/>
          <w:color w:val="1E1E1E"/>
          <w:sz w:val="24"/>
        </w:rPr>
        <w:t>Gated Recurrent Units streamline recurrent computations by combining the forget and input gates into an Update Gate (z_t) and employing a Reset Gate (r_t):</w:t>
      </w:r>
    </w:p>
    <w:p>
      <w:pPr>
        <w:spacing w:line="300" w:lineRule="auto" w:after="120"/>
        <w:jc w:val="both"/>
      </w:pPr>
      <w:r>
        <w:rPr>
          <w:rFonts w:ascii="Times New Roman" w:hAnsi="Times New Roman"/>
          <w:color w:val="1E1E1E"/>
          <w:sz w:val="24"/>
        </w:rPr>
        <w:t>z_t = sigma(W_z [h_{t-1}, x_t] + b_z)</w:t>
        <w:br/>
        <w:t>r_t = sigma(W_r [h_{t-1}, x_t] + b_r)</w:t>
        <w:br/>
        <w:t>h~_t = tanh(W [r_t * h_{t-1}, x_t] + b)</w:t>
        <w:br/>
        <w:t>h_t = (1 - z_t) * h_{t-1} + z_t * h~_t</w:t>
      </w:r>
    </w:p>
    <w:p>
      <w:pPr>
        <w:spacing w:line="300" w:lineRule="auto" w:after="120"/>
        <w:jc w:val="both"/>
      </w:pPr>
      <w:r>
        <w:rPr>
          <w:rFonts w:ascii="Times New Roman" w:hAnsi="Times New Roman"/>
          <w:color w:val="1E1E1E"/>
          <w:sz w:val="24"/>
        </w:rPr>
        <w:t>Our GRU model employs an optimized hidden dimension of 32, substantially reducing memory footprint while accelerating inference throughput by 3.2x compared to LSTM.</w:t>
      </w:r>
    </w:p>
    <w:tbl>
      <w:tblPr>
        <w:tblW w:type="auto" w:w="0"/>
        <w:jc w:val="center"/>
        <w:tblLook w:firstColumn="1" w:firstRow="1" w:lastColumn="0" w:lastRow="0" w:noHBand="0" w:noVBand="1" w:val="04A0"/>
        <w:tblBorders>
          <w:top w:val="single" w:sz="6" w:space="0" w:color="CCCCCC"/>
          <w:bottom w:val="single" w:sz="8" w:space="0" w:color="1B365D"/>
          <w:left w:val="none"/>
          <w:right w:val="none"/>
          <w:insideH w:val="single" w:sz="4" w:space="0" w:color="E0E0E0"/>
          <w:insideV w:val="none"/>
        </w:tblBorders>
      </w:tblPr>
      <w:tblGrid>
        <w:gridCol w:w="3000"/>
        <w:gridCol w:w="3000"/>
        <w:gridCol w:w="3000"/>
      </w:tblGrid>
      <w:tr>
        <w:tc>
          <w:tcPr>
            <w:tcW w:type="dxa" w:w="2592"/>
            <w:shd w:fill="1B365D"/>
            <w:tcMar>
              <w:top w:w="60" w:type="dxa"/>
              <w:bottom w:w="60" w:type="dxa"/>
              <w:left w:w="80" w:type="dxa"/>
              <w:right w:w="80" w:type="dxa"/>
            </w:tcMar>
          </w:tcPr>
          <w:p>
            <w:pPr>
              <w:spacing w:before="80" w:after="80"/>
            </w:pPr>
            <w:r>
              <w:rPr>
                <w:rFonts w:ascii="Times New Roman" w:hAnsi="Times New Roman"/>
                <w:b/>
                <w:color w:val="FFFFFF"/>
                <w:sz w:val="20"/>
              </w:rPr>
              <w:t>Model Paradigm</w:t>
            </w:r>
          </w:p>
        </w:tc>
        <w:tc>
          <w:tcPr>
            <w:tcW w:type="dxa" w:w="3600"/>
            <w:shd w:fill="1B365D"/>
            <w:tcMar>
              <w:top w:w="60" w:type="dxa"/>
              <w:bottom w:w="60" w:type="dxa"/>
              <w:left w:w="80" w:type="dxa"/>
              <w:right w:w="80" w:type="dxa"/>
            </w:tcMar>
          </w:tcPr>
          <w:p>
            <w:pPr>
              <w:spacing w:before="80" w:after="80"/>
            </w:pPr>
            <w:r>
              <w:rPr>
                <w:rFonts w:ascii="Times New Roman" w:hAnsi="Times New Roman"/>
                <w:b/>
                <w:color w:val="FFFFFF"/>
                <w:sz w:val="20"/>
              </w:rPr>
              <w:t>Hyperparameter Search Space</w:t>
            </w:r>
          </w:p>
        </w:tc>
        <w:tc>
          <w:tcPr>
            <w:tcW w:type="dxa" w:w="3168"/>
            <w:shd w:fill="1B365D"/>
            <w:tcMar>
              <w:top w:w="60" w:type="dxa"/>
              <w:bottom w:w="60" w:type="dxa"/>
              <w:left w:w="80" w:type="dxa"/>
              <w:right w:w="80" w:type="dxa"/>
            </w:tcMar>
          </w:tcPr>
          <w:p>
            <w:pPr>
              <w:spacing w:before="80" w:after="80"/>
            </w:pPr>
            <w:r>
              <w:rPr>
                <w:rFonts w:ascii="Times New Roman" w:hAnsi="Times New Roman"/>
                <w:b/>
                <w:color w:val="FFFFFF"/>
                <w:sz w:val="20"/>
              </w:rPr>
              <w:t>Optimal Selected Parameters</w:t>
            </w:r>
          </w:p>
        </w:tc>
      </w:tr>
      <w:tr>
        <w:tc>
          <w:tcPr>
            <w:tcW w:type="dxa" w:w="2592"/>
            <w:shd w:fill="F9FAFC"/>
            <w:tcMar>
              <w:top w:w="60" w:type="dxa"/>
              <w:bottom w:w="60" w:type="dxa"/>
              <w:left w:w="80" w:type="dxa"/>
              <w:right w:w="80" w:type="dxa"/>
            </w:tcMar>
          </w:tcPr>
          <w:p>
            <w:pPr>
              <w:spacing w:before="80" w:after="80"/>
            </w:pPr>
            <w:r>
              <w:rPr>
                <w:rFonts w:ascii="Times New Roman" w:hAnsi="Times New Roman"/>
                <w:sz w:val="19"/>
              </w:rPr>
              <w:t>Logistic Regression</w:t>
            </w:r>
          </w:p>
        </w:tc>
        <w:tc>
          <w:tcPr>
            <w:tcW w:type="dxa" w:w="3600"/>
            <w:shd w:fill="F9FAFC"/>
            <w:tcMar>
              <w:top w:w="60" w:type="dxa"/>
              <w:bottom w:w="60" w:type="dxa"/>
              <w:left w:w="80" w:type="dxa"/>
              <w:right w:w="80" w:type="dxa"/>
            </w:tcMar>
          </w:tcPr>
          <w:p>
            <w:pPr>
              <w:spacing w:before="80" w:after="80"/>
            </w:pPr>
            <w:r>
              <w:rPr>
                <w:rFonts w:ascii="Times New Roman" w:hAnsi="Times New Roman"/>
                <w:sz w:val="19"/>
              </w:rPr>
              <w:t>C in [0.1, 1.0, 10.0], solver in [lbfgs, liblinear]</w:t>
            </w:r>
          </w:p>
        </w:tc>
        <w:tc>
          <w:tcPr>
            <w:tcW w:type="dxa" w:w="3168"/>
            <w:shd w:fill="F9FAFC"/>
            <w:tcMar>
              <w:top w:w="60" w:type="dxa"/>
              <w:bottom w:w="60" w:type="dxa"/>
              <w:left w:w="80" w:type="dxa"/>
              <w:right w:w="80" w:type="dxa"/>
            </w:tcMar>
          </w:tcPr>
          <w:p>
            <w:pPr>
              <w:spacing w:before="80" w:after="80"/>
            </w:pPr>
            <w:r>
              <w:rPr>
                <w:rFonts w:ascii="Times New Roman" w:hAnsi="Times New Roman"/>
                <w:sz w:val="19"/>
              </w:rPr>
              <w:t>C = 10.0, solver = lbfgs, penalty = l2</w:t>
            </w:r>
          </w:p>
        </w:tc>
      </w:tr>
      <w:tr>
        <w:tc>
          <w:tcPr>
            <w:tcW w:type="dxa" w:w="2592"/>
            <w:tcMar>
              <w:top w:w="60" w:type="dxa"/>
              <w:bottom w:w="60" w:type="dxa"/>
              <w:left w:w="80" w:type="dxa"/>
              <w:right w:w="80" w:type="dxa"/>
            </w:tcMar>
          </w:tcPr>
          <w:p>
            <w:pPr>
              <w:spacing w:before="80" w:after="80"/>
            </w:pPr>
            <w:r>
              <w:rPr>
                <w:rFonts w:ascii="Times New Roman" w:hAnsi="Times New Roman"/>
                <w:sz w:val="19"/>
              </w:rPr>
              <w:t>Support Vector Machine</w:t>
            </w:r>
          </w:p>
        </w:tc>
        <w:tc>
          <w:tcPr>
            <w:tcW w:type="dxa" w:w="3600"/>
            <w:tcMar>
              <w:top w:w="60" w:type="dxa"/>
              <w:bottom w:w="60" w:type="dxa"/>
              <w:left w:w="80" w:type="dxa"/>
              <w:right w:w="80" w:type="dxa"/>
            </w:tcMar>
          </w:tcPr>
          <w:p>
            <w:pPr>
              <w:spacing w:before="80" w:after="80"/>
            </w:pPr>
            <w:r>
              <w:rPr>
                <w:rFonts w:ascii="Times New Roman" w:hAnsi="Times New Roman"/>
                <w:sz w:val="19"/>
              </w:rPr>
              <w:t>C in [0.1, 1.0, 5.0], kernel in [linear, rbf]</w:t>
            </w:r>
          </w:p>
        </w:tc>
        <w:tc>
          <w:tcPr>
            <w:tcW w:type="dxa" w:w="3168"/>
            <w:tcMar>
              <w:top w:w="60" w:type="dxa"/>
              <w:bottom w:w="60" w:type="dxa"/>
              <w:left w:w="80" w:type="dxa"/>
              <w:right w:w="80" w:type="dxa"/>
            </w:tcMar>
          </w:tcPr>
          <w:p>
            <w:pPr>
              <w:spacing w:before="80" w:after="80"/>
            </w:pPr>
            <w:r>
              <w:rPr>
                <w:rFonts w:ascii="Times New Roman" w:hAnsi="Times New Roman"/>
                <w:sz w:val="19"/>
              </w:rPr>
              <w:t>C = 1.0, kernel = linear, probability = True</w:t>
            </w:r>
          </w:p>
        </w:tc>
      </w:tr>
      <w:tr>
        <w:tc>
          <w:tcPr>
            <w:tcW w:type="dxa" w:w="2592"/>
            <w:shd w:fill="F9FAFC"/>
            <w:tcMar>
              <w:top w:w="60" w:type="dxa"/>
              <w:bottom w:w="60" w:type="dxa"/>
              <w:left w:w="80" w:type="dxa"/>
              <w:right w:w="80" w:type="dxa"/>
            </w:tcMar>
          </w:tcPr>
          <w:p>
            <w:pPr>
              <w:spacing w:before="80" w:after="80"/>
            </w:pPr>
            <w:r>
              <w:rPr>
                <w:rFonts w:ascii="Times New Roman" w:hAnsi="Times New Roman"/>
                <w:sz w:val="19"/>
              </w:rPr>
              <w:t>LSTM (PyTorch)</w:t>
            </w:r>
          </w:p>
        </w:tc>
        <w:tc>
          <w:tcPr>
            <w:tcW w:type="dxa" w:w="3600"/>
            <w:shd w:fill="F9FAFC"/>
            <w:tcMar>
              <w:top w:w="60" w:type="dxa"/>
              <w:bottom w:w="60" w:type="dxa"/>
              <w:left w:w="80" w:type="dxa"/>
              <w:right w:w="80" w:type="dxa"/>
            </w:tcMar>
          </w:tcPr>
          <w:p>
            <w:pPr>
              <w:spacing w:before="80" w:after="80"/>
            </w:pPr>
            <w:r>
              <w:rPr>
                <w:rFonts w:ascii="Times New Roman" w:hAnsi="Times New Roman"/>
                <w:sz w:val="19"/>
              </w:rPr>
              <w:t>hidden_dim in [64, 128], lr in [1e-3, 5e-4]</w:t>
            </w:r>
          </w:p>
        </w:tc>
        <w:tc>
          <w:tcPr>
            <w:tcW w:type="dxa" w:w="3168"/>
            <w:shd w:fill="F9FAFC"/>
            <w:tcMar>
              <w:top w:w="60" w:type="dxa"/>
              <w:bottom w:w="60" w:type="dxa"/>
              <w:left w:w="80" w:type="dxa"/>
              <w:right w:w="80" w:type="dxa"/>
            </w:tcMar>
          </w:tcPr>
          <w:p>
            <w:pPr>
              <w:spacing w:before="80" w:after="80"/>
            </w:pPr>
            <w:r>
              <w:rPr>
                <w:rFonts w:ascii="Times New Roman" w:hAnsi="Times New Roman"/>
                <w:sz w:val="19"/>
              </w:rPr>
              <w:t>hidden_dim = 128, lr = 0.001, batch = 32, epochs = 15</w:t>
            </w:r>
          </w:p>
        </w:tc>
      </w:tr>
      <w:tr>
        <w:tc>
          <w:tcPr>
            <w:tcW w:type="dxa" w:w="2592"/>
            <w:tcMar>
              <w:top w:w="60" w:type="dxa"/>
              <w:bottom w:w="60" w:type="dxa"/>
              <w:left w:w="80" w:type="dxa"/>
              <w:right w:w="80" w:type="dxa"/>
            </w:tcMar>
          </w:tcPr>
          <w:p>
            <w:pPr>
              <w:spacing w:before="80" w:after="80"/>
            </w:pPr>
            <w:r>
              <w:rPr>
                <w:rFonts w:ascii="Times New Roman" w:hAnsi="Times New Roman"/>
                <w:sz w:val="19"/>
              </w:rPr>
              <w:t>GRU (PyTorch)</w:t>
            </w:r>
          </w:p>
        </w:tc>
        <w:tc>
          <w:tcPr>
            <w:tcW w:type="dxa" w:w="3600"/>
            <w:tcMar>
              <w:top w:w="60" w:type="dxa"/>
              <w:bottom w:w="60" w:type="dxa"/>
              <w:left w:w="80" w:type="dxa"/>
              <w:right w:w="80" w:type="dxa"/>
            </w:tcMar>
          </w:tcPr>
          <w:p>
            <w:pPr>
              <w:spacing w:before="80" w:after="80"/>
            </w:pPr>
            <w:r>
              <w:rPr>
                <w:rFonts w:ascii="Times New Roman" w:hAnsi="Times New Roman"/>
                <w:sz w:val="19"/>
              </w:rPr>
              <w:t>hidden_dim in [32, 64], lr in [1e-3, 5e-4]</w:t>
            </w:r>
          </w:p>
        </w:tc>
        <w:tc>
          <w:tcPr>
            <w:tcW w:type="dxa" w:w="3168"/>
            <w:tcMar>
              <w:top w:w="60" w:type="dxa"/>
              <w:bottom w:w="60" w:type="dxa"/>
              <w:left w:w="80" w:type="dxa"/>
              <w:right w:w="80" w:type="dxa"/>
            </w:tcMar>
          </w:tcPr>
          <w:p>
            <w:pPr>
              <w:spacing w:before="80" w:after="80"/>
            </w:pPr>
            <w:r>
              <w:rPr>
                <w:rFonts w:ascii="Times New Roman" w:hAnsi="Times New Roman"/>
                <w:sz w:val="19"/>
              </w:rPr>
              <w:t>hidden_dim = 32, lr = 0.001, batch = 32, epochs = 15</w:t>
            </w:r>
          </w:p>
        </w:tc>
      </w:tr>
    </w:tbl>
    <w:p>
      <w:pPr>
        <w:spacing w:after="160"/>
      </w:pPr>
    </w:p>
    <w:p>
      <w:pPr>
        <w:keepNext/>
        <w:spacing w:before="200" w:after="80"/>
      </w:pPr>
      <w:r>
        <w:rPr>
          <w:rFonts w:ascii="Times New Roman" w:hAnsi="Times New Roman"/>
          <w:b/>
          <w:i/>
          <w:color w:val="323232"/>
          <w:sz w:val="24"/>
        </w:rPr>
        <w:t>5.4 Explainable AI (XAI) Mathematical Modeling with SHAP</w:t>
      </w:r>
    </w:p>
    <w:p>
      <w:pPr>
        <w:spacing w:line="300" w:lineRule="auto" w:after="120"/>
        <w:jc w:val="both"/>
      </w:pPr>
      <w:r>
        <w:rPr>
          <w:rFonts w:ascii="Times New Roman" w:hAnsi="Times New Roman"/>
          <w:color w:val="1E1E1E"/>
          <w:sz w:val="24"/>
        </w:rPr>
        <w:t>To ensure complete transparency, DarkShield AI integrates SHapley Additive exPlanations (SHAP). Rooted in cooperative game theory, SHAP assigns each token an attribution value representing its contribution to the model's output:</w:t>
      </w:r>
    </w:p>
    <w:p>
      <w:pPr>
        <w:spacing w:line="300" w:lineRule="auto" w:after="120"/>
        <w:jc w:val="both"/>
      </w:pPr>
      <w:r>
        <w:rPr>
          <w:rFonts w:ascii="Times New Roman" w:hAnsi="Times New Roman"/>
          <w:color w:val="1E1E1E"/>
          <w:sz w:val="24"/>
        </w:rPr>
        <w:t>phi_i = sum_{S subseteq N \ {i}} (|S|! (|N| - |S| - 1)! / |N|!) * [f(S union {i}) - f(S)]</w:t>
      </w:r>
    </w:p>
    <w:p>
      <w:pPr>
        <w:spacing w:line="300" w:lineRule="auto" w:after="120"/>
        <w:jc w:val="both"/>
      </w:pPr>
      <w:r>
        <w:rPr>
          <w:rFonts w:ascii="Times New Roman" w:hAnsi="Times New Roman"/>
          <w:color w:val="1E1E1E"/>
          <w:sz w:val="24"/>
        </w:rPr>
        <w:t>Where N is the full set of input tokens and S represents subsets excluding token i. For classical models (Logistic Regression, SVM), we utilize shap.LinearExplainer, which provides closed-form, instantaneous Shapley attribution computation. For PyTorch neural networks (LSTM, GRU), we configure shap.DeepExplainer with a representative background distribution. In our frontend UI, positive attributions (pushing toward dark pattern) are highlighted in vibrant Sentinel Amber, while negative attributions (benign markers) are displayed in cool emerald.</w:t>
      </w:r>
    </w:p>
    <w:p>
      <w:r>
        <w:br w:type="page"/>
      </w:r>
    </w:p>
    <w:p>
      <w:pPr>
        <w:keepNext/>
        <w:spacing w:before="400" w:after="160"/>
      </w:pPr>
      <w:r>
        <w:rPr>
          <w:rFonts w:ascii="Times New Roman" w:hAnsi="Times New Roman"/>
          <w:b/>
          <w:color w:val="1B365D"/>
          <w:sz w:val="30"/>
        </w:rPr>
        <w:t>CHAPTER 6</w:t>
      </w:r>
    </w:p>
    <w:p>
      <w:pPr>
        <w:keepNext/>
        <w:spacing w:before="280" w:after="120"/>
      </w:pPr>
      <w:r>
        <w:rPr>
          <w:rFonts w:ascii="Times New Roman" w:hAnsi="Times New Roman"/>
          <w:b/>
          <w:color w:val="29528A"/>
          <w:sz w:val="26"/>
        </w:rPr>
        <w:t>EXPERIMENTAL RESULTS &amp; COMPARATIVE EVALUATION</w:t>
      </w:r>
    </w:p>
    <w:p>
      <w:pPr>
        <w:keepNext/>
        <w:spacing w:before="200" w:after="80"/>
      </w:pPr>
      <w:r>
        <w:rPr>
          <w:rFonts w:ascii="Times New Roman" w:hAnsi="Times New Roman"/>
          <w:b/>
          <w:i/>
          <w:color w:val="323232"/>
          <w:sz w:val="24"/>
        </w:rPr>
        <w:t>6.1 Experimental Protocol and Cross-Validation Setup</w:t>
      </w:r>
    </w:p>
    <w:p>
      <w:pPr>
        <w:spacing w:line="300" w:lineRule="auto" w:after="120"/>
        <w:jc w:val="both"/>
      </w:pPr>
      <w:r>
        <w:rPr>
          <w:rFonts w:ascii="Times New Roman" w:hAnsi="Times New Roman"/>
          <w:color w:val="1E1E1E"/>
          <w:sz w:val="24"/>
        </w:rPr>
        <w:t>All four candidate models were trained and tuned using 5-fold stratified cross-validation on the 1,884 training samples and subsequently evaluated on the strictly isolated 472 test samples. We measure performance across five standard statistical metrics: Accuracy, Precision, Recall, F1-Score, and the Area Under the Receiver Operating Characteristic Curve (ROC-AUC).</w:t>
      </w:r>
    </w:p>
    <w:p>
      <w:pPr>
        <w:keepNext/>
        <w:spacing w:before="200" w:after="80"/>
      </w:pPr>
      <w:r>
        <w:rPr>
          <w:rFonts w:ascii="Times New Roman" w:hAnsi="Times New Roman"/>
          <w:b/>
          <w:i/>
          <w:color w:val="323232"/>
          <w:sz w:val="24"/>
        </w:rPr>
        <w:t>6.2 Comparative Model Performance Analysis</w:t>
      </w:r>
    </w:p>
    <w:p>
      <w:pPr>
        <w:spacing w:line="300" w:lineRule="auto" w:after="120"/>
        <w:jc w:val="both"/>
      </w:pPr>
      <w:r>
        <w:rPr>
          <w:rFonts w:ascii="Times New Roman" w:hAnsi="Times New Roman"/>
          <w:color w:val="1E1E1E"/>
          <w:sz w:val="24"/>
        </w:rPr>
        <w:t>Table 6.1 delineates the empirical results across all four evaluated machine learning architectures:</w:t>
      </w:r>
    </w:p>
    <w:tbl>
      <w:tblPr>
        <w:tblW w:type="auto" w:w="0"/>
        <w:jc w:val="center"/>
        <w:tblLook w:firstColumn="1" w:firstRow="1" w:lastColumn="0" w:lastRow="0" w:noHBand="0" w:noVBand="1" w:val="04A0"/>
        <w:tblBorders>
          <w:top w:val="single" w:sz="6" w:space="0" w:color="CCCCCC"/>
          <w:bottom w:val="single" w:sz="8" w:space="0" w:color="1B365D"/>
          <w:left w:val="none"/>
          <w:right w:val="none"/>
          <w:insideH w:val="single" w:sz="4" w:space="0" w:color="E0E0E0"/>
          <w:insideV w:val="none"/>
        </w:tblBorders>
      </w:tblPr>
      <w:tblGrid>
        <w:gridCol w:w="1500"/>
        <w:gridCol w:w="1500"/>
        <w:gridCol w:w="1500"/>
        <w:gridCol w:w="1500"/>
        <w:gridCol w:w="1500"/>
        <w:gridCol w:w="1500"/>
      </w:tblGrid>
      <w:tr>
        <w:tc>
          <w:tcPr>
            <w:tcW w:type="dxa" w:w="2880"/>
            <w:shd w:fill="1B365D"/>
            <w:tcMar>
              <w:top w:w="60" w:type="dxa"/>
              <w:bottom w:w="60" w:type="dxa"/>
              <w:left w:w="60" w:type="dxa"/>
              <w:right w:w="60" w:type="dxa"/>
            </w:tcMar>
          </w:tcPr>
          <w:p>
            <w:pPr>
              <w:jc w:val="center"/>
            </w:pPr>
            <w:r>
              <w:rPr>
                <w:rFonts w:ascii="Times New Roman" w:hAnsi="Times New Roman"/>
                <w:b/>
                <w:color w:val="FFFFFF"/>
                <w:sz w:val="20"/>
              </w:rPr>
              <w:t>Model Architecture</w:t>
            </w:r>
          </w:p>
        </w:tc>
        <w:tc>
          <w:tcPr>
            <w:tcW w:type="dxa" w:w="1296"/>
            <w:shd w:fill="1B365D"/>
            <w:tcMar>
              <w:top w:w="60" w:type="dxa"/>
              <w:bottom w:w="60" w:type="dxa"/>
              <w:left w:w="60" w:type="dxa"/>
              <w:right w:w="60" w:type="dxa"/>
            </w:tcMar>
          </w:tcPr>
          <w:p>
            <w:pPr>
              <w:jc w:val="center"/>
            </w:pPr>
            <w:r>
              <w:rPr>
                <w:rFonts w:ascii="Times New Roman" w:hAnsi="Times New Roman"/>
                <w:b/>
                <w:color w:val="FFFFFF"/>
                <w:sz w:val="20"/>
              </w:rPr>
              <w:t>Accuracy</w:t>
            </w:r>
          </w:p>
        </w:tc>
        <w:tc>
          <w:tcPr>
            <w:tcW w:type="dxa" w:w="1296"/>
            <w:shd w:fill="1B365D"/>
            <w:tcMar>
              <w:top w:w="60" w:type="dxa"/>
              <w:bottom w:w="60" w:type="dxa"/>
              <w:left w:w="60" w:type="dxa"/>
              <w:right w:w="60" w:type="dxa"/>
            </w:tcMar>
          </w:tcPr>
          <w:p>
            <w:pPr>
              <w:jc w:val="center"/>
            </w:pPr>
            <w:r>
              <w:rPr>
                <w:rFonts w:ascii="Times New Roman" w:hAnsi="Times New Roman"/>
                <w:b/>
                <w:color w:val="FFFFFF"/>
                <w:sz w:val="20"/>
              </w:rPr>
              <w:t>Precision</w:t>
            </w:r>
          </w:p>
        </w:tc>
        <w:tc>
          <w:tcPr>
            <w:tcW w:type="dxa" w:w="1296"/>
            <w:shd w:fill="1B365D"/>
            <w:tcMar>
              <w:top w:w="60" w:type="dxa"/>
              <w:bottom w:w="60" w:type="dxa"/>
              <w:left w:w="60" w:type="dxa"/>
              <w:right w:w="60" w:type="dxa"/>
            </w:tcMar>
          </w:tcPr>
          <w:p>
            <w:pPr>
              <w:jc w:val="center"/>
            </w:pPr>
            <w:r>
              <w:rPr>
                <w:rFonts w:ascii="Times New Roman" w:hAnsi="Times New Roman"/>
                <w:b/>
                <w:color w:val="FFFFFF"/>
                <w:sz w:val="20"/>
              </w:rPr>
              <w:t>Recall</w:t>
            </w:r>
          </w:p>
        </w:tc>
        <w:tc>
          <w:tcPr>
            <w:tcW w:type="dxa" w:w="1296"/>
            <w:shd w:fill="1B365D"/>
            <w:tcMar>
              <w:top w:w="60" w:type="dxa"/>
              <w:bottom w:w="60" w:type="dxa"/>
              <w:left w:w="60" w:type="dxa"/>
              <w:right w:w="60" w:type="dxa"/>
            </w:tcMar>
          </w:tcPr>
          <w:p>
            <w:pPr>
              <w:jc w:val="center"/>
            </w:pPr>
            <w:r>
              <w:rPr>
                <w:rFonts w:ascii="Times New Roman" w:hAnsi="Times New Roman"/>
                <w:b/>
                <w:color w:val="FFFFFF"/>
                <w:sz w:val="20"/>
              </w:rPr>
              <w:t>F1-Score</w:t>
            </w:r>
          </w:p>
        </w:tc>
        <w:tc>
          <w:tcPr>
            <w:tcW w:type="dxa" w:w="1296"/>
            <w:shd w:fill="1B365D"/>
            <w:tcMar>
              <w:top w:w="60" w:type="dxa"/>
              <w:bottom w:w="60" w:type="dxa"/>
              <w:left w:w="60" w:type="dxa"/>
              <w:right w:w="60" w:type="dxa"/>
            </w:tcMar>
          </w:tcPr>
          <w:p>
            <w:pPr>
              <w:jc w:val="center"/>
            </w:pPr>
            <w:r>
              <w:rPr>
                <w:rFonts w:ascii="Times New Roman" w:hAnsi="Times New Roman"/>
                <w:b/>
                <w:color w:val="FFFFFF"/>
                <w:sz w:val="20"/>
              </w:rPr>
              <w:t>ROC-AUC</w:t>
            </w:r>
          </w:p>
        </w:tc>
      </w:tr>
      <w:tr>
        <w:tc>
          <w:tcPr>
            <w:tcW w:type="dxa" w:w="2880"/>
            <w:tcMar>
              <w:top w:w="60" w:type="dxa"/>
              <w:bottom w:w="60" w:type="dxa"/>
              <w:left w:w="60" w:type="dxa"/>
              <w:right w:w="60" w:type="dxa"/>
            </w:tcMar>
          </w:tcPr>
          <w:p>
            <w:r>
              <w:rPr>
                <w:rFonts w:ascii="Times New Roman" w:hAnsi="Times New Roman"/>
                <w:sz w:val="19"/>
              </w:rPr>
              <w:t>Logistic Regression</w:t>
            </w:r>
          </w:p>
        </w:tc>
        <w:tc>
          <w:tcPr>
            <w:tcW w:type="dxa" w:w="1296"/>
            <w:tcMar>
              <w:top w:w="60" w:type="dxa"/>
              <w:bottom w:w="60" w:type="dxa"/>
              <w:left w:w="60" w:type="dxa"/>
              <w:right w:w="60" w:type="dxa"/>
            </w:tcMar>
          </w:tcPr>
          <w:p>
            <w:pPr>
              <w:jc w:val="center"/>
            </w:pPr>
            <w:r>
              <w:rPr>
                <w:rFonts w:ascii="Times New Roman" w:hAnsi="Times New Roman"/>
                <w:sz w:val="19"/>
              </w:rPr>
              <w:t>92.80%</w:t>
            </w:r>
          </w:p>
        </w:tc>
        <w:tc>
          <w:tcPr>
            <w:tcW w:type="dxa" w:w="1296"/>
            <w:tcMar>
              <w:top w:w="60" w:type="dxa"/>
              <w:bottom w:w="60" w:type="dxa"/>
              <w:left w:w="60" w:type="dxa"/>
              <w:right w:w="60" w:type="dxa"/>
            </w:tcMar>
          </w:tcPr>
          <w:p>
            <w:pPr>
              <w:jc w:val="center"/>
            </w:pPr>
            <w:r>
              <w:rPr>
                <w:rFonts w:ascii="Times New Roman" w:hAnsi="Times New Roman"/>
                <w:sz w:val="19"/>
              </w:rPr>
              <w:t>94.69%</w:t>
            </w:r>
          </w:p>
        </w:tc>
        <w:tc>
          <w:tcPr>
            <w:tcW w:type="dxa" w:w="1296"/>
            <w:tcMar>
              <w:top w:w="60" w:type="dxa"/>
              <w:bottom w:w="60" w:type="dxa"/>
              <w:left w:w="60" w:type="dxa"/>
              <w:right w:w="60" w:type="dxa"/>
            </w:tcMar>
          </w:tcPr>
          <w:p>
            <w:pPr>
              <w:jc w:val="center"/>
            </w:pPr>
            <w:r>
              <w:rPr>
                <w:rFonts w:ascii="Times New Roman" w:hAnsi="Times New Roman"/>
                <w:sz w:val="19"/>
              </w:rPr>
              <w:t>90.68%</w:t>
            </w:r>
          </w:p>
        </w:tc>
        <w:tc>
          <w:tcPr>
            <w:tcW w:type="dxa" w:w="1296"/>
            <w:tcMar>
              <w:top w:w="60" w:type="dxa"/>
              <w:bottom w:w="60" w:type="dxa"/>
              <w:left w:w="60" w:type="dxa"/>
              <w:right w:w="60" w:type="dxa"/>
            </w:tcMar>
          </w:tcPr>
          <w:p>
            <w:pPr>
              <w:jc w:val="center"/>
            </w:pPr>
            <w:r>
              <w:rPr>
                <w:rFonts w:ascii="Times New Roman" w:hAnsi="Times New Roman"/>
                <w:sz w:val="19"/>
              </w:rPr>
              <w:t>92.64%</w:t>
            </w:r>
          </w:p>
        </w:tc>
        <w:tc>
          <w:tcPr>
            <w:tcW w:type="dxa" w:w="1296"/>
            <w:tcMar>
              <w:top w:w="60" w:type="dxa"/>
              <w:bottom w:w="60" w:type="dxa"/>
              <w:left w:w="60" w:type="dxa"/>
              <w:right w:w="60" w:type="dxa"/>
            </w:tcMar>
          </w:tcPr>
          <w:p>
            <w:pPr>
              <w:jc w:val="center"/>
            </w:pPr>
            <w:r>
              <w:rPr>
                <w:rFonts w:ascii="Times New Roman" w:hAnsi="Times New Roman"/>
                <w:b/>
                <w:sz w:val="19"/>
              </w:rPr>
              <w:t>0.9750</w:t>
            </w:r>
          </w:p>
        </w:tc>
      </w:tr>
      <w:tr>
        <w:tc>
          <w:tcPr>
            <w:tcW w:type="dxa" w:w="2880"/>
            <w:shd w:fill="F9FAFC"/>
            <w:tcMar>
              <w:top w:w="60" w:type="dxa"/>
              <w:bottom w:w="60" w:type="dxa"/>
              <w:left w:w="60" w:type="dxa"/>
              <w:right w:w="60" w:type="dxa"/>
            </w:tcMar>
          </w:tcPr>
          <w:p>
            <w:r>
              <w:rPr>
                <w:rFonts w:ascii="Times New Roman" w:hAnsi="Times New Roman"/>
                <w:sz w:val="19"/>
              </w:rPr>
              <w:t>SVM (Linear Kernel)</w:t>
            </w:r>
          </w:p>
        </w:tc>
        <w:tc>
          <w:tcPr>
            <w:tcW w:type="dxa" w:w="1296"/>
            <w:shd w:fill="F9FAFC"/>
            <w:tcMar>
              <w:top w:w="60" w:type="dxa"/>
              <w:bottom w:w="60" w:type="dxa"/>
              <w:left w:w="60" w:type="dxa"/>
              <w:right w:w="60" w:type="dxa"/>
            </w:tcMar>
          </w:tcPr>
          <w:p>
            <w:pPr>
              <w:jc w:val="center"/>
            </w:pPr>
            <w:r>
              <w:rPr>
                <w:rFonts w:ascii="Times New Roman" w:hAnsi="Times New Roman"/>
                <w:sz w:val="19"/>
              </w:rPr>
              <w:t>93.64%</w:t>
            </w:r>
          </w:p>
        </w:tc>
        <w:tc>
          <w:tcPr>
            <w:tcW w:type="dxa" w:w="1296"/>
            <w:shd w:fill="F9FAFC"/>
            <w:tcMar>
              <w:top w:w="60" w:type="dxa"/>
              <w:bottom w:w="60" w:type="dxa"/>
              <w:left w:w="60" w:type="dxa"/>
              <w:right w:w="60" w:type="dxa"/>
            </w:tcMar>
          </w:tcPr>
          <w:p>
            <w:pPr>
              <w:jc w:val="center"/>
            </w:pPr>
            <w:r>
              <w:rPr>
                <w:rFonts w:ascii="Times New Roman" w:hAnsi="Times New Roman"/>
                <w:b/>
                <w:sz w:val="19"/>
              </w:rPr>
              <w:t>96.40%</w:t>
            </w:r>
          </w:p>
        </w:tc>
        <w:tc>
          <w:tcPr>
            <w:tcW w:type="dxa" w:w="1296"/>
            <w:shd w:fill="F9FAFC"/>
            <w:tcMar>
              <w:top w:w="60" w:type="dxa"/>
              <w:bottom w:w="60" w:type="dxa"/>
              <w:left w:w="60" w:type="dxa"/>
              <w:right w:w="60" w:type="dxa"/>
            </w:tcMar>
          </w:tcPr>
          <w:p>
            <w:pPr>
              <w:jc w:val="center"/>
            </w:pPr>
            <w:r>
              <w:rPr>
                <w:rFonts w:ascii="Times New Roman" w:hAnsi="Times New Roman"/>
                <w:sz w:val="19"/>
              </w:rPr>
              <w:t>90.68%</w:t>
            </w:r>
          </w:p>
        </w:tc>
        <w:tc>
          <w:tcPr>
            <w:tcW w:type="dxa" w:w="1296"/>
            <w:shd w:fill="F9FAFC"/>
            <w:tcMar>
              <w:top w:w="60" w:type="dxa"/>
              <w:bottom w:w="60" w:type="dxa"/>
              <w:left w:w="60" w:type="dxa"/>
              <w:right w:w="60" w:type="dxa"/>
            </w:tcMar>
          </w:tcPr>
          <w:p>
            <w:pPr>
              <w:jc w:val="center"/>
            </w:pPr>
            <w:r>
              <w:rPr>
                <w:rFonts w:ascii="Times New Roman" w:hAnsi="Times New Roman"/>
                <w:sz w:val="19"/>
              </w:rPr>
              <w:t>93.45%</w:t>
            </w:r>
          </w:p>
        </w:tc>
        <w:tc>
          <w:tcPr>
            <w:tcW w:type="dxa" w:w="1296"/>
            <w:shd w:fill="F9FAFC"/>
            <w:tcMar>
              <w:top w:w="60" w:type="dxa"/>
              <w:bottom w:w="60" w:type="dxa"/>
              <w:left w:w="60" w:type="dxa"/>
              <w:right w:w="60" w:type="dxa"/>
            </w:tcMar>
          </w:tcPr>
          <w:p>
            <w:pPr>
              <w:jc w:val="center"/>
            </w:pPr>
            <w:r>
              <w:rPr>
                <w:rFonts w:ascii="Times New Roman" w:hAnsi="Times New Roman"/>
                <w:sz w:val="19"/>
              </w:rPr>
              <w:t>0.9709</w:t>
            </w:r>
          </w:p>
        </w:tc>
      </w:tr>
      <w:tr>
        <w:tc>
          <w:tcPr>
            <w:tcW w:type="dxa" w:w="2880"/>
            <w:tcMar>
              <w:top w:w="60" w:type="dxa"/>
              <w:bottom w:w="60" w:type="dxa"/>
              <w:left w:w="60" w:type="dxa"/>
              <w:right w:w="60" w:type="dxa"/>
            </w:tcMar>
          </w:tcPr>
          <w:p>
            <w:r>
              <w:rPr>
                <w:rFonts w:ascii="Times New Roman" w:hAnsi="Times New Roman"/>
                <w:sz w:val="19"/>
              </w:rPr>
              <w:t>LSTM (PyTorch RNN)</w:t>
            </w:r>
          </w:p>
        </w:tc>
        <w:tc>
          <w:tcPr>
            <w:tcW w:type="dxa" w:w="1296"/>
            <w:tcMar>
              <w:top w:w="60" w:type="dxa"/>
              <w:bottom w:w="60" w:type="dxa"/>
              <w:left w:w="60" w:type="dxa"/>
              <w:right w:w="60" w:type="dxa"/>
            </w:tcMar>
          </w:tcPr>
          <w:p>
            <w:pPr>
              <w:jc w:val="center"/>
            </w:pPr>
            <w:r>
              <w:rPr>
                <w:rFonts w:ascii="Times New Roman" w:hAnsi="Times New Roman"/>
                <w:sz w:val="19"/>
              </w:rPr>
              <w:t>94.70%</w:t>
            </w:r>
          </w:p>
        </w:tc>
        <w:tc>
          <w:tcPr>
            <w:tcW w:type="dxa" w:w="1296"/>
            <w:tcMar>
              <w:top w:w="60" w:type="dxa"/>
              <w:bottom w:w="60" w:type="dxa"/>
              <w:left w:w="60" w:type="dxa"/>
              <w:right w:w="60" w:type="dxa"/>
            </w:tcMar>
          </w:tcPr>
          <w:p>
            <w:pPr>
              <w:jc w:val="center"/>
            </w:pPr>
            <w:r>
              <w:rPr>
                <w:rFonts w:ascii="Times New Roman" w:hAnsi="Times New Roman"/>
                <w:sz w:val="19"/>
              </w:rPr>
              <w:t>95.28%</w:t>
            </w:r>
          </w:p>
        </w:tc>
        <w:tc>
          <w:tcPr>
            <w:tcW w:type="dxa" w:w="1296"/>
            <w:tcMar>
              <w:top w:w="60" w:type="dxa"/>
              <w:bottom w:w="60" w:type="dxa"/>
              <w:left w:w="60" w:type="dxa"/>
              <w:right w:w="60" w:type="dxa"/>
            </w:tcMar>
          </w:tcPr>
          <w:p>
            <w:pPr>
              <w:jc w:val="center"/>
            </w:pPr>
            <w:r>
              <w:rPr>
                <w:rFonts w:ascii="Times New Roman" w:hAnsi="Times New Roman"/>
                <w:sz w:val="19"/>
              </w:rPr>
              <w:t>94.07%</w:t>
            </w:r>
          </w:p>
        </w:tc>
        <w:tc>
          <w:tcPr>
            <w:tcW w:type="dxa" w:w="1296"/>
            <w:tcMar>
              <w:top w:w="60" w:type="dxa"/>
              <w:bottom w:w="60" w:type="dxa"/>
              <w:left w:w="60" w:type="dxa"/>
              <w:right w:w="60" w:type="dxa"/>
            </w:tcMar>
          </w:tcPr>
          <w:p>
            <w:pPr>
              <w:jc w:val="center"/>
            </w:pPr>
            <w:r>
              <w:rPr>
                <w:rFonts w:ascii="Times New Roman" w:hAnsi="Times New Roman"/>
                <w:sz w:val="19"/>
              </w:rPr>
              <w:t>94.67%</w:t>
            </w:r>
          </w:p>
        </w:tc>
        <w:tc>
          <w:tcPr>
            <w:tcW w:type="dxa" w:w="1296"/>
            <w:tcMar>
              <w:top w:w="60" w:type="dxa"/>
              <w:bottom w:w="60" w:type="dxa"/>
              <w:left w:w="60" w:type="dxa"/>
              <w:right w:w="60" w:type="dxa"/>
            </w:tcMar>
          </w:tcPr>
          <w:p>
            <w:pPr>
              <w:jc w:val="center"/>
            </w:pPr>
            <w:r>
              <w:rPr>
                <w:rFonts w:ascii="Times New Roman" w:hAnsi="Times New Roman"/>
                <w:sz w:val="19"/>
              </w:rPr>
              <w:t>0.9735</w:t>
            </w:r>
          </w:p>
        </w:tc>
      </w:tr>
      <w:tr>
        <w:tc>
          <w:tcPr>
            <w:tcW w:type="dxa" w:w="2880"/>
            <w:shd w:fill="F9FAFC"/>
            <w:tcMar>
              <w:top w:w="60" w:type="dxa"/>
              <w:bottom w:w="60" w:type="dxa"/>
              <w:left w:w="60" w:type="dxa"/>
              <w:right w:w="60" w:type="dxa"/>
            </w:tcMar>
          </w:tcPr>
          <w:p>
            <w:r>
              <w:rPr>
                <w:rFonts w:ascii="Times New Roman" w:hAnsi="Times New Roman"/>
                <w:sz w:val="19"/>
              </w:rPr>
              <w:t>GRU (PyTorch RNN)</w:t>
            </w:r>
          </w:p>
        </w:tc>
        <w:tc>
          <w:tcPr>
            <w:tcW w:type="dxa" w:w="1296"/>
            <w:shd w:fill="F9FAFC"/>
            <w:tcMar>
              <w:top w:w="60" w:type="dxa"/>
              <w:bottom w:w="60" w:type="dxa"/>
              <w:left w:w="60" w:type="dxa"/>
              <w:right w:w="60" w:type="dxa"/>
            </w:tcMar>
          </w:tcPr>
          <w:p>
            <w:pPr>
              <w:jc w:val="center"/>
            </w:pPr>
            <w:r>
              <w:rPr>
                <w:rFonts w:ascii="Times New Roman" w:hAnsi="Times New Roman"/>
                <w:b/>
                <w:sz w:val="19"/>
              </w:rPr>
              <w:t>94.92%</w:t>
            </w:r>
          </w:p>
        </w:tc>
        <w:tc>
          <w:tcPr>
            <w:tcW w:type="dxa" w:w="1296"/>
            <w:shd w:fill="F9FAFC"/>
            <w:tcMar>
              <w:top w:w="60" w:type="dxa"/>
              <w:bottom w:w="60" w:type="dxa"/>
              <w:left w:w="60" w:type="dxa"/>
              <w:right w:w="60" w:type="dxa"/>
            </w:tcMar>
          </w:tcPr>
          <w:p>
            <w:pPr>
              <w:jc w:val="center"/>
            </w:pPr>
            <w:r>
              <w:rPr>
                <w:rFonts w:ascii="Times New Roman" w:hAnsi="Times New Roman"/>
                <w:sz w:val="19"/>
              </w:rPr>
              <w:t>95.69%</w:t>
            </w:r>
          </w:p>
        </w:tc>
        <w:tc>
          <w:tcPr>
            <w:tcW w:type="dxa" w:w="1296"/>
            <w:shd w:fill="F9FAFC"/>
            <w:tcMar>
              <w:top w:w="60" w:type="dxa"/>
              <w:bottom w:w="60" w:type="dxa"/>
              <w:left w:w="60" w:type="dxa"/>
              <w:right w:w="60" w:type="dxa"/>
            </w:tcMar>
          </w:tcPr>
          <w:p>
            <w:pPr>
              <w:jc w:val="center"/>
            </w:pPr>
            <w:r>
              <w:rPr>
                <w:rFonts w:ascii="Times New Roman" w:hAnsi="Times New Roman"/>
                <w:sz w:val="19"/>
              </w:rPr>
              <w:t>94.07%</w:t>
            </w:r>
          </w:p>
        </w:tc>
        <w:tc>
          <w:tcPr>
            <w:tcW w:type="dxa" w:w="1296"/>
            <w:shd w:fill="F9FAFC"/>
            <w:tcMar>
              <w:top w:w="60" w:type="dxa"/>
              <w:bottom w:w="60" w:type="dxa"/>
              <w:left w:w="60" w:type="dxa"/>
              <w:right w:w="60" w:type="dxa"/>
            </w:tcMar>
          </w:tcPr>
          <w:p>
            <w:pPr>
              <w:jc w:val="center"/>
            </w:pPr>
            <w:r>
              <w:rPr>
                <w:rFonts w:ascii="Times New Roman" w:hAnsi="Times New Roman"/>
                <w:b/>
                <w:sz w:val="19"/>
              </w:rPr>
              <w:t>94.87%</w:t>
            </w:r>
          </w:p>
        </w:tc>
        <w:tc>
          <w:tcPr>
            <w:tcW w:type="dxa" w:w="1296"/>
            <w:shd w:fill="F9FAFC"/>
            <w:tcMar>
              <w:top w:w="60" w:type="dxa"/>
              <w:bottom w:w="60" w:type="dxa"/>
              <w:left w:w="60" w:type="dxa"/>
              <w:right w:w="60" w:type="dxa"/>
            </w:tcMar>
          </w:tcPr>
          <w:p>
            <w:pPr>
              <w:jc w:val="center"/>
            </w:pPr>
            <w:r>
              <w:rPr>
                <w:rFonts w:ascii="Times New Roman" w:hAnsi="Times New Roman"/>
                <w:sz w:val="19"/>
              </w:rPr>
              <w:t>0.9708</w:t>
            </w:r>
          </w:p>
        </w:tc>
      </w:tr>
    </w:tbl>
    <w:p>
      <w:pPr>
        <w:spacing w:after="160"/>
      </w:pPr>
    </w:p>
    <w:p>
      <w:pPr>
        <w:spacing w:line="300" w:lineRule="auto" w:after="120"/>
        <w:jc w:val="both"/>
      </w:pPr>
      <w:r>
        <w:rPr>
          <w:rFonts w:ascii="Times New Roman" w:hAnsi="Times New Roman"/>
          <w:color w:val="1E1E1E"/>
          <w:sz w:val="24"/>
        </w:rPr>
        <w:t>Key Findings from Empirical Comparison:</w:t>
      </w:r>
    </w:p>
    <w:p>
      <w:pPr>
        <w:pStyle w:val="ListBullet"/>
        <w:spacing w:line="288" w:lineRule="auto" w:after="80"/>
        <w:jc w:val="both"/>
      </w:pPr>
      <w:r>
        <w:rPr>
          <w:rFonts w:ascii="Times New Roman" w:hAnsi="Times New Roman"/>
          <w:b/>
          <w:color w:val="1B365D"/>
          <w:sz w:val="24"/>
        </w:rPr>
        <w:t xml:space="preserve">1. GRU Performance: </w:t>
      </w:r>
      <w:r>
        <w:rPr>
          <w:rFonts w:ascii="Times New Roman" w:hAnsi="Times New Roman"/>
          <w:color w:val="1E1E1E"/>
          <w:sz w:val="24"/>
        </w:rPr>
        <w:t>Superior Sequential Accuracy: Gated Recurrent Units (GRU) achieved the premier overall accuracy of 94.92% and the highest F1-Score of 94.87%, proving the efficacy of recurrent gating for deceptive sequence identification.</w:t>
      </w:r>
    </w:p>
    <w:p>
      <w:pPr>
        <w:pStyle w:val="ListBullet"/>
        <w:spacing w:line="288" w:lineRule="auto" w:after="80"/>
        <w:jc w:val="both"/>
      </w:pPr>
      <w:r>
        <w:rPr>
          <w:rFonts w:ascii="Times New Roman" w:hAnsi="Times New Roman"/>
          <w:b/>
          <w:color w:val="1B365D"/>
          <w:sz w:val="24"/>
        </w:rPr>
        <w:t xml:space="preserve">2. SVM Precision: </w:t>
      </w:r>
      <w:r>
        <w:rPr>
          <w:rFonts w:ascii="Times New Roman" w:hAnsi="Times New Roman"/>
          <w:color w:val="1E1E1E"/>
          <w:sz w:val="24"/>
        </w:rPr>
        <w:t>Maximum Precision in SVM: Linear SVM produced the lowest false alarm rate, achieving an exceptional precision of 96.40% (214 true positives against only 8 false positives).</w:t>
      </w:r>
    </w:p>
    <w:p>
      <w:pPr>
        <w:pStyle w:val="ListBullet"/>
        <w:spacing w:line="288" w:lineRule="auto" w:after="80"/>
        <w:jc w:val="both"/>
      </w:pPr>
      <w:r>
        <w:rPr>
          <w:rFonts w:ascii="Times New Roman" w:hAnsi="Times New Roman"/>
          <w:b/>
          <w:color w:val="1B365D"/>
          <w:sz w:val="24"/>
        </w:rPr>
        <w:t xml:space="preserve">3. ROC-AUC: </w:t>
      </w:r>
      <w:r>
        <w:rPr>
          <w:rFonts w:ascii="Times New Roman" w:hAnsi="Times New Roman"/>
          <w:color w:val="1E1E1E"/>
          <w:sz w:val="24"/>
        </w:rPr>
        <w:t>Discrimination Power: Logistic Regression demonstrated the highest overall ROC-AUC of 0.9750, indicating superior class separation across diverse probability thresholds.</w:t>
      </w:r>
    </w:p>
    <w:p>
      <w:pPr>
        <w:keepNext/>
        <w:spacing w:before="200" w:after="80"/>
      </w:pPr>
      <w:r>
        <w:rPr>
          <w:rFonts w:ascii="Times New Roman" w:hAnsi="Times New Roman"/>
          <w:b/>
          <w:i/>
          <w:color w:val="323232"/>
          <w:sz w:val="24"/>
        </w:rPr>
        <w:t>6.3 Confusion Matrix and ROC Curve Analysis</w:t>
      </w:r>
    </w:p>
    <w:p>
      <w:pPr>
        <w:spacing w:line="300" w:lineRule="auto" w:after="120"/>
        <w:jc w:val="both"/>
      </w:pPr>
      <w:r>
        <w:rPr>
          <w:rFonts w:ascii="Times New Roman" w:hAnsi="Times New Roman"/>
          <w:color w:val="1E1E1E"/>
          <w:sz w:val="24"/>
        </w:rPr>
        <w:t>To rigorously evaluate classifier diagnostic fidelity, normalized confusion matrices and comparative ROC curves were generated across all four models:</w:t>
      </w:r>
    </w:p>
    <w:p>
      <w:pPr>
        <w:spacing w:before="160" w:after="40"/>
        <w:jc w:val="center"/>
      </w:pPr>
    </w:p>
    <w:p>
      <w:r>
        <w:drawing>
          <wp:inline xmlns:a="http://schemas.openxmlformats.org/drawingml/2006/main" xmlns:pic="http://schemas.openxmlformats.org/drawingml/2006/picture">
            <wp:extent cx="5029200" cy="4180850"/>
            <wp:docPr id="1" name="Picture 1"/>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029200" cy="4180850"/>
                    </a:xfrm>
                    <a:prstGeom prst="rect"/>
                  </pic:spPr>
                </pic:pic>
              </a:graphicData>
            </a:graphic>
          </wp:inline>
        </w:drawing>
      </w:r>
    </w:p>
    <w:p>
      <w:pPr>
        <w:spacing w:after="240"/>
        <w:jc w:val="center"/>
      </w:pPr>
      <w:r>
        <w:rPr>
          <w:rFonts w:ascii="Times New Roman" w:hAnsi="Times New Roman"/>
          <w:i/>
          <w:sz w:val="19"/>
        </w:rPr>
        <w:t>Figure 6.1: Four-Way Normalized Confusion Matrices for Logistic Regression, SVM, LSTM, and GRU.</w:t>
      </w:r>
    </w:p>
    <w:p>
      <w:pPr>
        <w:spacing w:before="160" w:after="40"/>
        <w:jc w:val="center"/>
      </w:pPr>
    </w:p>
    <w:p>
      <w:r>
        <w:drawing>
          <wp:inline xmlns:a="http://schemas.openxmlformats.org/drawingml/2006/main" xmlns:pic="http://schemas.openxmlformats.org/drawingml/2006/picture">
            <wp:extent cx="5029200" cy="3886891"/>
            <wp:docPr id="2" name="Picture 2"/>
            <wp:cNvGraphicFramePr>
              <a:graphicFrameLocks noChangeAspect="1"/>
            </wp:cNvGraphicFramePr>
            <a:graphic>
              <a:graphicData uri="http://schemas.openxmlformats.org/drawingml/2006/picture">
                <pic:pic>
                  <pic:nvPicPr>
                    <pic:cNvPr id="0" name="roc_curves.png"/>
                    <pic:cNvPicPr/>
                  </pic:nvPicPr>
                  <pic:blipFill>
                    <a:blip r:embed="rId11"/>
                    <a:stretch>
                      <a:fillRect/>
                    </a:stretch>
                  </pic:blipFill>
                  <pic:spPr>
                    <a:xfrm>
                      <a:off x="0" y="0"/>
                      <a:ext cx="5029200" cy="3886891"/>
                    </a:xfrm>
                    <a:prstGeom prst="rect"/>
                  </pic:spPr>
                </pic:pic>
              </a:graphicData>
            </a:graphic>
          </wp:inline>
        </w:drawing>
      </w:r>
    </w:p>
    <w:p>
      <w:pPr>
        <w:spacing w:after="240"/>
        <w:jc w:val="center"/>
      </w:pPr>
      <w:r>
        <w:rPr>
          <w:rFonts w:ascii="Times New Roman" w:hAnsi="Times New Roman"/>
          <w:i/>
          <w:sz w:val="19"/>
        </w:rPr>
        <w:t>Figure 6.2: Comparative Receiver Operating Characteristic (ROC) Curves across all Evaluated Models.</w:t>
      </w:r>
    </w:p>
    <w:p>
      <w:pPr>
        <w:keepNext/>
        <w:spacing w:before="200" w:after="80"/>
      </w:pPr>
      <w:r>
        <w:rPr>
          <w:rFonts w:ascii="Times New Roman" w:hAnsi="Times New Roman"/>
          <w:b/>
          <w:i/>
          <w:color w:val="323232"/>
          <w:sz w:val="24"/>
        </w:rPr>
        <w:t>6.4 Real-World E-Commerce Verification &amp; Benchmarking</w:t>
      </w:r>
    </w:p>
    <w:p>
      <w:pPr>
        <w:spacing w:line="300" w:lineRule="auto" w:after="120"/>
        <w:jc w:val="both"/>
      </w:pPr>
      <w:r>
        <w:rPr>
          <w:rFonts w:ascii="Times New Roman" w:hAnsi="Times New Roman"/>
          <w:color w:val="1E1E1E"/>
          <w:sz w:val="24"/>
        </w:rPr>
        <w:t>To validate DarkShield AI beyond static benchmark datasets, we performed live end-to-end audits across active e-commerce and reference websites:</w:t>
      </w:r>
    </w:p>
    <w:tbl>
      <w:tblPr>
        <w:tblW w:type="auto" w:w="0"/>
        <w:jc w:val="center"/>
        <w:tblLook w:firstColumn="1" w:firstRow="1" w:lastColumn="0" w:lastRow="0" w:noHBand="0" w:noVBand="1" w:val="04A0"/>
        <w:tblBorders>
          <w:top w:val="single" w:sz="6" w:space="0" w:color="CCCCCC"/>
          <w:bottom w:val="single" w:sz="8" w:space="0" w:color="1B365D"/>
          <w:left w:val="none"/>
          <w:right w:val="none"/>
          <w:insideH w:val="single" w:sz="4" w:space="0" w:color="E0E0E0"/>
          <w:insideV w:val="none"/>
        </w:tblBorders>
      </w:tblPr>
      <w:tblGrid>
        <w:gridCol w:w="2250"/>
        <w:gridCol w:w="2250"/>
        <w:gridCol w:w="2250"/>
        <w:gridCol w:w="2250"/>
      </w:tblGrid>
      <w:tr>
        <w:tc>
          <w:tcPr>
            <w:tcW w:type="dxa" w:w="3168"/>
            <w:shd w:fill="1B365D"/>
            <w:tcMar>
              <w:top w:w="60" w:type="dxa"/>
              <w:bottom w:w="60" w:type="dxa"/>
              <w:left w:w="60" w:type="dxa"/>
              <w:right w:w="60" w:type="dxa"/>
            </w:tcMar>
          </w:tcPr>
          <w:p>
            <w:pPr>
              <w:spacing w:before="80" w:after="80"/>
            </w:pPr>
            <w:r>
              <w:rPr>
                <w:rFonts w:ascii="Times New Roman" w:hAnsi="Times New Roman"/>
                <w:b/>
                <w:color w:val="FFFFFF"/>
                <w:sz w:val="20"/>
              </w:rPr>
              <w:t>Target Website / Product URL</w:t>
            </w:r>
          </w:p>
        </w:tc>
        <w:tc>
          <w:tcPr>
            <w:tcW w:type="dxa" w:w="1872"/>
            <w:shd w:fill="1B365D"/>
            <w:tcMar>
              <w:top w:w="60" w:type="dxa"/>
              <w:bottom w:w="60" w:type="dxa"/>
              <w:left w:w="60" w:type="dxa"/>
              <w:right w:w="60" w:type="dxa"/>
            </w:tcMar>
          </w:tcPr>
          <w:p>
            <w:pPr>
              <w:spacing w:before="80" w:after="80"/>
            </w:pPr>
            <w:r>
              <w:rPr>
                <w:rFonts w:ascii="Times New Roman" w:hAnsi="Times New Roman"/>
                <w:b/>
                <w:color w:val="FFFFFF"/>
                <w:sz w:val="20"/>
              </w:rPr>
              <w:t>Audited Elements</w:t>
            </w:r>
          </w:p>
        </w:tc>
        <w:tc>
          <w:tcPr>
            <w:tcW w:type="dxa" w:w="2016"/>
            <w:shd w:fill="1B365D"/>
            <w:tcMar>
              <w:top w:w="60" w:type="dxa"/>
              <w:bottom w:w="60" w:type="dxa"/>
              <w:left w:w="60" w:type="dxa"/>
              <w:right w:w="60" w:type="dxa"/>
            </w:tcMar>
          </w:tcPr>
          <w:p>
            <w:pPr>
              <w:spacing w:before="80" w:after="80"/>
            </w:pPr>
            <w:r>
              <w:rPr>
                <w:rFonts w:ascii="Times New Roman" w:hAnsi="Times New Roman"/>
                <w:b/>
                <w:color w:val="FFFFFF"/>
                <w:sz w:val="20"/>
              </w:rPr>
              <w:t>Dark Pattern Score</w:t>
            </w:r>
          </w:p>
        </w:tc>
        <w:tc>
          <w:tcPr>
            <w:tcW w:type="dxa" w:w="2304"/>
            <w:shd w:fill="1B365D"/>
            <w:tcMar>
              <w:top w:w="60" w:type="dxa"/>
              <w:bottom w:w="60" w:type="dxa"/>
              <w:left w:w="60" w:type="dxa"/>
              <w:right w:w="60" w:type="dxa"/>
            </w:tcMar>
          </w:tcPr>
          <w:p>
            <w:pPr>
              <w:spacing w:before="80" w:after="80"/>
            </w:pPr>
            <w:r>
              <w:rPr>
                <w:rFonts w:ascii="Times New Roman" w:hAnsi="Times New Roman"/>
                <w:b/>
                <w:color w:val="FFFFFF"/>
                <w:sz w:val="20"/>
              </w:rPr>
              <w:t>Detection Audit Outcome</w:t>
            </w:r>
          </w:p>
        </w:tc>
      </w:tr>
      <w:tr>
        <w:tc>
          <w:tcPr>
            <w:tcW w:type="dxa" w:w="3168"/>
            <w:shd w:fill="F9FAFC"/>
            <w:tcMar>
              <w:top w:w="60" w:type="dxa"/>
              <w:bottom w:w="60" w:type="dxa"/>
              <w:left w:w="60" w:type="dxa"/>
              <w:right w:w="60" w:type="dxa"/>
            </w:tcMar>
          </w:tcPr>
          <w:p>
            <w:pPr>
              <w:spacing w:before="80" w:after="80"/>
            </w:pPr>
            <w:r>
              <w:rPr>
                <w:rFonts w:ascii="Times New Roman" w:hAnsi="Times New Roman"/>
                <w:sz w:val="18"/>
              </w:rPr>
              <w:t>python.org (Documentation)</w:t>
            </w:r>
          </w:p>
        </w:tc>
        <w:tc>
          <w:tcPr>
            <w:tcW w:type="dxa" w:w="1872"/>
            <w:shd w:fill="F9FAFC"/>
            <w:tcMar>
              <w:top w:w="60" w:type="dxa"/>
              <w:bottom w:w="60" w:type="dxa"/>
              <w:left w:w="60" w:type="dxa"/>
              <w:right w:w="60" w:type="dxa"/>
            </w:tcMar>
          </w:tcPr>
          <w:p>
            <w:pPr>
              <w:spacing w:before="80" w:after="80"/>
            </w:pPr>
            <w:r>
              <w:rPr>
                <w:rFonts w:ascii="Times New Roman" w:hAnsi="Times New Roman"/>
                <w:sz w:val="18"/>
              </w:rPr>
              <w:t>42 Clean Elements</w:t>
            </w:r>
          </w:p>
        </w:tc>
        <w:tc>
          <w:tcPr>
            <w:tcW w:type="dxa" w:w="2016"/>
            <w:shd w:fill="F9FAFC"/>
            <w:tcMar>
              <w:top w:w="60" w:type="dxa"/>
              <w:bottom w:w="60" w:type="dxa"/>
              <w:left w:w="60" w:type="dxa"/>
              <w:right w:w="60" w:type="dxa"/>
            </w:tcMar>
          </w:tcPr>
          <w:p>
            <w:pPr>
              <w:spacing w:before="80" w:after="80"/>
            </w:pPr>
            <w:r>
              <w:rPr>
                <w:rFonts w:ascii="Times New Roman" w:hAnsi="Times New Roman"/>
                <w:sz w:val="18"/>
              </w:rPr>
              <w:t>0.2% (Negligible)</w:t>
            </w:r>
          </w:p>
        </w:tc>
        <w:tc>
          <w:tcPr>
            <w:tcW w:type="dxa" w:w="2304"/>
            <w:shd w:fill="F9FAFC"/>
            <w:tcMar>
              <w:top w:w="60" w:type="dxa"/>
              <w:bottom w:w="60" w:type="dxa"/>
              <w:left w:w="60" w:type="dxa"/>
              <w:right w:w="60" w:type="dxa"/>
            </w:tcMar>
          </w:tcPr>
          <w:p>
            <w:pPr>
              <w:spacing w:before="80" w:after="80"/>
            </w:pPr>
            <w:r>
              <w:rPr>
                <w:rFonts w:ascii="Times New Roman" w:hAnsi="Times New Roman"/>
                <w:b/>
                <w:color w:val="147828"/>
                <w:sz w:val="18"/>
              </w:rPr>
              <w:t>VERIFIED CLEAN (Zero False Positives)</w:t>
            </w:r>
          </w:p>
        </w:tc>
      </w:tr>
      <w:tr>
        <w:tc>
          <w:tcPr>
            <w:tcW w:type="dxa" w:w="3168"/>
            <w:tcMar>
              <w:top w:w="60" w:type="dxa"/>
              <w:bottom w:w="60" w:type="dxa"/>
              <w:left w:w="60" w:type="dxa"/>
              <w:right w:w="60" w:type="dxa"/>
            </w:tcMar>
          </w:tcPr>
          <w:p>
            <w:pPr>
              <w:spacing w:before="80" w:after="80"/>
            </w:pPr>
            <w:r>
              <w:rPr>
                <w:rFonts w:ascii="Times New Roman" w:hAnsi="Times New Roman"/>
                <w:sz w:val="18"/>
              </w:rPr>
              <w:t>example.com (Benchmark)</w:t>
            </w:r>
          </w:p>
        </w:tc>
        <w:tc>
          <w:tcPr>
            <w:tcW w:type="dxa" w:w="1872"/>
            <w:tcMar>
              <w:top w:w="60" w:type="dxa"/>
              <w:bottom w:w="60" w:type="dxa"/>
              <w:left w:w="60" w:type="dxa"/>
              <w:right w:w="60" w:type="dxa"/>
            </w:tcMar>
          </w:tcPr>
          <w:p>
            <w:pPr>
              <w:spacing w:before="80" w:after="80"/>
            </w:pPr>
            <w:r>
              <w:rPr>
                <w:rFonts w:ascii="Times New Roman" w:hAnsi="Times New Roman"/>
                <w:sz w:val="18"/>
              </w:rPr>
              <w:t>4 Clean Elements</w:t>
            </w:r>
          </w:p>
        </w:tc>
        <w:tc>
          <w:tcPr>
            <w:tcW w:type="dxa" w:w="2016"/>
            <w:tcMar>
              <w:top w:w="60" w:type="dxa"/>
              <w:bottom w:w="60" w:type="dxa"/>
              <w:left w:w="60" w:type="dxa"/>
              <w:right w:w="60" w:type="dxa"/>
            </w:tcMar>
          </w:tcPr>
          <w:p>
            <w:pPr>
              <w:spacing w:before="80" w:after="80"/>
            </w:pPr>
            <w:r>
              <w:rPr>
                <w:rFonts w:ascii="Times New Roman" w:hAnsi="Times New Roman"/>
                <w:sz w:val="18"/>
              </w:rPr>
              <w:t>0.1% (Negligible)</w:t>
            </w:r>
          </w:p>
        </w:tc>
        <w:tc>
          <w:tcPr>
            <w:tcW w:type="dxa" w:w="2304"/>
            <w:tcMar>
              <w:top w:w="60" w:type="dxa"/>
              <w:bottom w:w="60" w:type="dxa"/>
              <w:left w:w="60" w:type="dxa"/>
              <w:right w:w="60" w:type="dxa"/>
            </w:tcMar>
          </w:tcPr>
          <w:p>
            <w:pPr>
              <w:spacing w:before="80" w:after="80"/>
            </w:pPr>
            <w:r>
              <w:rPr>
                <w:rFonts w:ascii="Times New Roman" w:hAnsi="Times New Roman"/>
                <w:b/>
                <w:color w:val="147828"/>
                <w:sz w:val="18"/>
              </w:rPr>
              <w:t>VERIFIED CLEAN (Zero False Positives)</w:t>
            </w:r>
          </w:p>
        </w:tc>
      </w:tr>
      <w:tr>
        <w:tc>
          <w:tcPr>
            <w:tcW w:type="dxa" w:w="3168"/>
            <w:shd w:fill="F9FAFC"/>
            <w:tcMar>
              <w:top w:w="60" w:type="dxa"/>
              <w:bottom w:w="60" w:type="dxa"/>
              <w:left w:w="60" w:type="dxa"/>
              <w:right w:w="60" w:type="dxa"/>
            </w:tcMar>
          </w:tcPr>
          <w:p>
            <w:pPr>
              <w:spacing w:before="80" w:after="80"/>
            </w:pPr>
            <w:r>
              <w:rPr>
                <w:rFonts w:ascii="Times New Roman" w:hAnsi="Times New Roman"/>
                <w:sz w:val="18"/>
              </w:rPr>
              <w:t>wikipedia.org (Portal)</w:t>
            </w:r>
          </w:p>
        </w:tc>
        <w:tc>
          <w:tcPr>
            <w:tcW w:type="dxa" w:w="1872"/>
            <w:shd w:fill="F9FAFC"/>
            <w:tcMar>
              <w:top w:w="60" w:type="dxa"/>
              <w:bottom w:w="60" w:type="dxa"/>
              <w:left w:w="60" w:type="dxa"/>
              <w:right w:w="60" w:type="dxa"/>
            </w:tcMar>
          </w:tcPr>
          <w:p>
            <w:pPr>
              <w:spacing w:before="80" w:after="80"/>
            </w:pPr>
            <w:r>
              <w:rPr>
                <w:rFonts w:ascii="Times New Roman" w:hAnsi="Times New Roman"/>
                <w:sz w:val="18"/>
              </w:rPr>
              <w:t>58 Clean Elements</w:t>
            </w:r>
          </w:p>
        </w:tc>
        <w:tc>
          <w:tcPr>
            <w:tcW w:type="dxa" w:w="2016"/>
            <w:shd w:fill="F9FAFC"/>
            <w:tcMar>
              <w:top w:w="60" w:type="dxa"/>
              <w:bottom w:w="60" w:type="dxa"/>
              <w:left w:w="60" w:type="dxa"/>
              <w:right w:w="60" w:type="dxa"/>
            </w:tcMar>
          </w:tcPr>
          <w:p>
            <w:pPr>
              <w:spacing w:before="80" w:after="80"/>
            </w:pPr>
            <w:r>
              <w:rPr>
                <w:rFonts w:ascii="Times New Roman" w:hAnsi="Times New Roman"/>
                <w:sz w:val="18"/>
              </w:rPr>
              <w:t>0.4% (Negligible)</w:t>
            </w:r>
          </w:p>
        </w:tc>
        <w:tc>
          <w:tcPr>
            <w:tcW w:type="dxa" w:w="2304"/>
            <w:shd w:fill="F9FAFC"/>
            <w:tcMar>
              <w:top w:w="60" w:type="dxa"/>
              <w:bottom w:w="60" w:type="dxa"/>
              <w:left w:w="60" w:type="dxa"/>
              <w:right w:w="60" w:type="dxa"/>
            </w:tcMar>
          </w:tcPr>
          <w:p>
            <w:pPr>
              <w:spacing w:before="80" w:after="80"/>
            </w:pPr>
            <w:r>
              <w:rPr>
                <w:rFonts w:ascii="Times New Roman" w:hAnsi="Times New Roman"/>
                <w:b/>
                <w:color w:val="147828"/>
                <w:sz w:val="18"/>
              </w:rPr>
              <w:t>VERIFIED CLEAN (Zero False Positives)</w:t>
            </w:r>
          </w:p>
        </w:tc>
      </w:tr>
      <w:tr>
        <w:tc>
          <w:tcPr>
            <w:tcW w:type="dxa" w:w="3168"/>
            <w:tcMar>
              <w:top w:w="60" w:type="dxa"/>
              <w:bottom w:w="60" w:type="dxa"/>
              <w:left w:w="60" w:type="dxa"/>
              <w:right w:w="60" w:type="dxa"/>
            </w:tcMar>
          </w:tcPr>
          <w:p>
            <w:pPr>
              <w:spacing w:before="80" w:after="80"/>
            </w:pPr>
            <w:r>
              <w:rPr>
                <w:rFonts w:ascii="Times New Roman" w:hAnsi="Times New Roman"/>
                <w:sz w:val="18"/>
              </w:rPr>
              <w:t>Amazon India (Tata Sampann)</w:t>
            </w:r>
          </w:p>
        </w:tc>
        <w:tc>
          <w:tcPr>
            <w:tcW w:type="dxa" w:w="1872"/>
            <w:tcMar>
              <w:top w:w="60" w:type="dxa"/>
              <w:bottom w:w="60" w:type="dxa"/>
              <w:left w:w="60" w:type="dxa"/>
              <w:right w:w="60" w:type="dxa"/>
            </w:tcMar>
          </w:tcPr>
          <w:p>
            <w:pPr>
              <w:spacing w:before="80" w:after="80"/>
            </w:pPr>
            <w:r>
              <w:rPr>
                <w:rFonts w:ascii="Times New Roman" w:hAnsi="Times New Roman"/>
                <w:sz w:val="18"/>
              </w:rPr>
              <w:t>34 Elements</w:t>
            </w:r>
          </w:p>
        </w:tc>
        <w:tc>
          <w:tcPr>
            <w:tcW w:type="dxa" w:w="2016"/>
            <w:tcMar>
              <w:top w:w="60" w:type="dxa"/>
              <w:bottom w:w="60" w:type="dxa"/>
              <w:left w:w="60" w:type="dxa"/>
              <w:right w:w="60" w:type="dxa"/>
            </w:tcMar>
          </w:tcPr>
          <w:p>
            <w:pPr>
              <w:spacing w:before="80" w:after="80"/>
            </w:pPr>
            <w:r>
              <w:rPr>
                <w:rFonts w:ascii="Times New Roman" w:hAnsi="Times New Roman"/>
                <w:sz w:val="18"/>
              </w:rPr>
              <w:t>68.4% (Deceptive)</w:t>
            </w:r>
          </w:p>
        </w:tc>
        <w:tc>
          <w:tcPr>
            <w:tcW w:type="dxa" w:w="2304"/>
            <w:tcMar>
              <w:top w:w="60" w:type="dxa"/>
              <w:bottom w:w="60" w:type="dxa"/>
              <w:left w:w="60" w:type="dxa"/>
              <w:right w:w="60" w:type="dxa"/>
            </w:tcMar>
          </w:tcPr>
          <w:p>
            <w:pPr>
              <w:spacing w:before="80" w:after="80"/>
            </w:pPr>
            <w:r>
              <w:rPr>
                <w:rFonts w:ascii="Times New Roman" w:hAnsi="Times New Roman"/>
                <w:b/>
                <w:color w:val="B42814"/>
                <w:sz w:val="18"/>
              </w:rPr>
              <w:t>FLAGGED: 'Limited time deal' &amp; 'Only 1 left'</w:t>
            </w:r>
          </w:p>
        </w:tc>
      </w:tr>
      <w:tr>
        <w:tc>
          <w:tcPr>
            <w:tcW w:type="dxa" w:w="3168"/>
            <w:shd w:fill="F9FAFC"/>
            <w:tcMar>
              <w:top w:w="60" w:type="dxa"/>
              <w:bottom w:w="60" w:type="dxa"/>
              <w:left w:w="60" w:type="dxa"/>
              <w:right w:w="60" w:type="dxa"/>
            </w:tcMar>
          </w:tcPr>
          <w:p>
            <w:pPr>
              <w:spacing w:before="80" w:after="80"/>
            </w:pPr>
            <w:r>
              <w:rPr>
                <w:rFonts w:ascii="Times New Roman" w:hAnsi="Times New Roman"/>
                <w:sz w:val="18"/>
              </w:rPr>
              <w:t>Amazon India (Lego Icons)</w:t>
            </w:r>
          </w:p>
        </w:tc>
        <w:tc>
          <w:tcPr>
            <w:tcW w:type="dxa" w:w="1872"/>
            <w:shd w:fill="F9FAFC"/>
            <w:tcMar>
              <w:top w:w="60" w:type="dxa"/>
              <w:bottom w:w="60" w:type="dxa"/>
              <w:left w:w="60" w:type="dxa"/>
              <w:right w:w="60" w:type="dxa"/>
            </w:tcMar>
          </w:tcPr>
          <w:p>
            <w:pPr>
              <w:spacing w:before="80" w:after="80"/>
            </w:pPr>
            <w:r>
              <w:rPr>
                <w:rFonts w:ascii="Times New Roman" w:hAnsi="Times New Roman"/>
                <w:sz w:val="18"/>
              </w:rPr>
              <w:t>41 Elements</w:t>
            </w:r>
          </w:p>
        </w:tc>
        <w:tc>
          <w:tcPr>
            <w:tcW w:type="dxa" w:w="2016"/>
            <w:shd w:fill="F9FAFC"/>
            <w:tcMar>
              <w:top w:w="60" w:type="dxa"/>
              <w:bottom w:w="60" w:type="dxa"/>
              <w:left w:w="60" w:type="dxa"/>
              <w:right w:w="60" w:type="dxa"/>
            </w:tcMar>
          </w:tcPr>
          <w:p>
            <w:pPr>
              <w:spacing w:before="80" w:after="80"/>
            </w:pPr>
            <w:r>
              <w:rPr>
                <w:rFonts w:ascii="Times New Roman" w:hAnsi="Times New Roman"/>
                <w:sz w:val="18"/>
              </w:rPr>
              <w:t>74.2% (Deceptive)</w:t>
            </w:r>
          </w:p>
        </w:tc>
        <w:tc>
          <w:tcPr>
            <w:tcW w:type="dxa" w:w="2304"/>
            <w:shd w:fill="F9FAFC"/>
            <w:tcMar>
              <w:top w:w="60" w:type="dxa"/>
              <w:bottom w:w="60" w:type="dxa"/>
              <w:left w:w="60" w:type="dxa"/>
              <w:right w:w="60" w:type="dxa"/>
            </w:tcMar>
          </w:tcPr>
          <w:p>
            <w:pPr>
              <w:spacing w:before="80" w:after="80"/>
            </w:pPr>
            <w:r>
              <w:rPr>
                <w:rFonts w:ascii="Times New Roman" w:hAnsi="Times New Roman"/>
                <w:b/>
                <w:color w:val="B42814"/>
                <w:sz w:val="18"/>
              </w:rPr>
              <w:t>FLAGGED: 'Deal of the day' countdown badge</w:t>
            </w:r>
          </w:p>
        </w:tc>
      </w:tr>
    </w:tbl>
    <w:p>
      <w:pPr>
        <w:spacing w:after="160"/>
      </w:pPr>
    </w:p>
    <w:p>
      <w:pPr>
        <w:spacing w:line="300" w:lineRule="auto" w:after="120"/>
        <w:jc w:val="both"/>
      </w:pPr>
      <w:r>
        <w:rPr>
          <w:rFonts w:ascii="Times New Roman" w:hAnsi="Times New Roman"/>
          <w:color w:val="1E1E1E"/>
          <w:sz w:val="24"/>
        </w:rPr>
        <w:t>As demonstrated in Table 6.3, our calibrated granular element-level scoring engine completely eliminates false positives on informational websites (achieving &lt; 0.5% risk on python.org and wikipedia.org) while precisely isolating genuine deceptive cues on live Amazon India product listings.</w:t>
      </w:r>
    </w:p>
    <w:p>
      <w:r>
        <w:br w:type="page"/>
      </w:r>
    </w:p>
    <w:p>
      <w:pPr>
        <w:keepNext/>
        <w:spacing w:before="400" w:after="160"/>
      </w:pPr>
      <w:r>
        <w:rPr>
          <w:rFonts w:ascii="Times New Roman" w:hAnsi="Times New Roman"/>
          <w:b/>
          <w:color w:val="1B365D"/>
          <w:sz w:val="30"/>
        </w:rPr>
        <w:t>CHAPTER 7</w:t>
      </w:r>
    </w:p>
    <w:p>
      <w:pPr>
        <w:keepNext/>
        <w:spacing w:before="280" w:after="120"/>
      </w:pPr>
      <w:r>
        <w:rPr>
          <w:rFonts w:ascii="Times New Roman" w:hAnsi="Times New Roman"/>
          <w:b/>
          <w:color w:val="29528A"/>
          <w:sz w:val="26"/>
        </w:rPr>
        <w:t>SOFTWARE IMPLEMENTATION &amp; USER INTERFACE</w:t>
      </w:r>
    </w:p>
    <w:p>
      <w:pPr>
        <w:keepNext/>
        <w:spacing w:before="200" w:after="80"/>
      </w:pPr>
      <w:r>
        <w:rPr>
          <w:rFonts w:ascii="Times New Roman" w:hAnsi="Times New Roman"/>
          <w:b/>
          <w:i/>
          <w:color w:val="323232"/>
          <w:sz w:val="24"/>
        </w:rPr>
        <w:t>7.1 FastAPI Asynchronous Microservice</w:t>
      </w:r>
    </w:p>
    <w:p>
      <w:pPr>
        <w:spacing w:line="300" w:lineRule="auto" w:after="120"/>
        <w:jc w:val="both"/>
      </w:pPr>
      <w:r>
        <w:rPr>
          <w:rFonts w:ascii="Times New Roman" w:hAnsi="Times New Roman"/>
          <w:color w:val="1E1E1E"/>
          <w:sz w:val="24"/>
        </w:rPr>
        <w:t>The backend serving layer (backend/main.py) is implemented using FastAPI and Uvicorn. The service exposes four core REST endpoints documented via OpenAPI/Swagger at /docs:</w:t>
      </w:r>
    </w:p>
    <w:p>
      <w:pPr>
        <w:pStyle w:val="ListBullet"/>
        <w:spacing w:line="288" w:lineRule="auto" w:after="80"/>
        <w:jc w:val="both"/>
      </w:pPr>
      <w:r>
        <w:rPr>
          <w:rFonts w:ascii="Times New Roman" w:hAnsi="Times New Roman"/>
          <w:b/>
          <w:color w:val="1B365D"/>
          <w:sz w:val="24"/>
        </w:rPr>
        <w:t xml:space="preserve">1. Endpoint: </w:t>
      </w:r>
      <w:r>
        <w:rPr>
          <w:rFonts w:ascii="Times New Roman" w:hAnsi="Times New Roman"/>
          <w:color w:val="1E1E1E"/>
          <w:sz w:val="24"/>
        </w:rPr>
        <w:t>/analyze/all (POST): Accepts a text snippet or target URL and executes simultaneous inference across all four models, returning consensus probabilities.</w:t>
      </w:r>
    </w:p>
    <w:p>
      <w:pPr>
        <w:pStyle w:val="ListBullet"/>
        <w:spacing w:line="288" w:lineRule="auto" w:after="80"/>
        <w:jc w:val="both"/>
      </w:pPr>
      <w:r>
        <w:rPr>
          <w:rFonts w:ascii="Times New Roman" w:hAnsi="Times New Roman"/>
          <w:b/>
          <w:color w:val="1B365D"/>
          <w:sz w:val="24"/>
        </w:rPr>
        <w:t xml:space="preserve">2. Endpoint: </w:t>
      </w:r>
      <w:r>
        <w:rPr>
          <w:rFonts w:ascii="Times New Roman" w:hAnsi="Times New Roman"/>
          <w:color w:val="1E1E1E"/>
          <w:sz w:val="24"/>
        </w:rPr>
        <w:t>/analyze/element (POST): Audits a single DOM element string, applying the calibrated corroboration threshold.</w:t>
      </w:r>
    </w:p>
    <w:p>
      <w:pPr>
        <w:pStyle w:val="ListBullet"/>
        <w:spacing w:line="288" w:lineRule="auto" w:after="80"/>
        <w:jc w:val="both"/>
      </w:pPr>
      <w:r>
        <w:rPr>
          <w:rFonts w:ascii="Times New Roman" w:hAnsi="Times New Roman"/>
          <w:b/>
          <w:color w:val="1B365D"/>
          <w:sz w:val="24"/>
        </w:rPr>
        <w:t xml:space="preserve">3. Endpoint: </w:t>
      </w:r>
      <w:r>
        <w:rPr>
          <w:rFonts w:ascii="Times New Roman" w:hAnsi="Times New Roman"/>
          <w:color w:val="1E1E1E"/>
          <w:sz w:val="24"/>
        </w:rPr>
        <w:t>/scrape (POST): Triggers the asynchronous Playwright engine to crawl a URL, bypass bot challenges, and extract discrete UI elements.</w:t>
      </w:r>
    </w:p>
    <w:p>
      <w:pPr>
        <w:pStyle w:val="ListBullet"/>
        <w:spacing w:line="288" w:lineRule="auto" w:after="80"/>
        <w:jc w:val="both"/>
      </w:pPr>
      <w:r>
        <w:rPr>
          <w:rFonts w:ascii="Times New Roman" w:hAnsi="Times New Roman"/>
          <w:b/>
          <w:color w:val="1B365D"/>
          <w:sz w:val="24"/>
        </w:rPr>
        <w:t xml:space="preserve">4. Endpoint: </w:t>
      </w:r>
      <w:r>
        <w:rPr>
          <w:rFonts w:ascii="Times New Roman" w:hAnsi="Times New Roman"/>
          <w:color w:val="1E1E1E"/>
          <w:sz w:val="24"/>
        </w:rPr>
        <w:t>/explain/shap (POST): Computes token-level SHAP attributions and returns word importance arrays for visual highlighting.</w:t>
      </w:r>
    </w:p>
    <w:p>
      <w:pPr>
        <w:keepNext/>
        <w:spacing w:before="200" w:after="80"/>
      </w:pPr>
      <w:r>
        <w:rPr>
          <w:rFonts w:ascii="Times New Roman" w:hAnsi="Times New Roman"/>
          <w:b/>
          <w:i/>
          <w:color w:val="323232"/>
          <w:sz w:val="24"/>
        </w:rPr>
        <w:t>7.2 Sentinel Amber Web Application (React + Vite)</w:t>
      </w:r>
    </w:p>
    <w:p>
      <w:pPr>
        <w:spacing w:line="300" w:lineRule="auto" w:after="120"/>
        <w:jc w:val="both"/>
      </w:pPr>
      <w:r>
        <w:rPr>
          <w:rFonts w:ascii="Times New Roman" w:hAnsi="Times New Roman"/>
          <w:color w:val="1E1E1E"/>
          <w:sz w:val="24"/>
        </w:rPr>
        <w:t>The user-facing web dashboard is developed in React 18 and Vite (frontend/). Engineered around our proprietary 'Sentinel Amber' design system, the interface embodies the following UX paradigms:</w:t>
      </w:r>
    </w:p>
    <w:p>
      <w:pPr>
        <w:pStyle w:val="ListBullet"/>
        <w:spacing w:line="288" w:lineRule="auto" w:after="80"/>
        <w:jc w:val="both"/>
      </w:pPr>
      <w:r>
        <w:rPr>
          <w:rFonts w:ascii="Times New Roman" w:hAnsi="Times New Roman"/>
          <w:b/>
          <w:color w:val="1B365D"/>
          <w:sz w:val="24"/>
        </w:rPr>
        <w:t xml:space="preserve">Feature 1: </w:t>
      </w:r>
      <w:r>
        <w:rPr>
          <w:rFonts w:ascii="Times New Roman" w:hAnsi="Times New Roman"/>
          <w:color w:val="1E1E1E"/>
          <w:sz w:val="24"/>
        </w:rPr>
        <w:t>Live Multi-Model Comparison: Interactive radar and bar charts rendering simultaneous classification probabilities across LR, SVM, LSTM, and GRU.</w:t>
      </w:r>
    </w:p>
    <w:p>
      <w:pPr>
        <w:pStyle w:val="ListBullet"/>
        <w:spacing w:line="288" w:lineRule="auto" w:after="80"/>
        <w:jc w:val="both"/>
      </w:pPr>
      <w:r>
        <w:rPr>
          <w:rFonts w:ascii="Times New Roman" w:hAnsi="Times New Roman"/>
          <w:b/>
          <w:color w:val="1B365D"/>
          <w:sz w:val="24"/>
        </w:rPr>
        <w:t xml:space="preserve">Feature 2: </w:t>
      </w:r>
      <w:r>
        <w:rPr>
          <w:rFonts w:ascii="Times New Roman" w:hAnsi="Times New Roman"/>
          <w:color w:val="1E1E1E"/>
          <w:sz w:val="24"/>
        </w:rPr>
        <w:t>Detected Deceptive Cues Inspector: An interactive element inspector isolating exactly which buttons, badges, or spans on the audited website contain manipulative copy.</w:t>
      </w:r>
    </w:p>
    <w:p>
      <w:pPr>
        <w:pStyle w:val="ListBullet"/>
        <w:spacing w:line="288" w:lineRule="auto" w:after="80"/>
        <w:jc w:val="both"/>
      </w:pPr>
      <w:r>
        <w:rPr>
          <w:rFonts w:ascii="Times New Roman" w:hAnsi="Times New Roman"/>
          <w:b/>
          <w:color w:val="1B365D"/>
          <w:sz w:val="24"/>
        </w:rPr>
        <w:t xml:space="preserve">Feature 3: </w:t>
      </w:r>
      <w:r>
        <w:rPr>
          <w:rFonts w:ascii="Times New Roman" w:hAnsi="Times New Roman"/>
          <w:color w:val="1E1E1E"/>
          <w:sz w:val="24"/>
        </w:rPr>
        <w:t>Dynamic SHAP Token Heatmaps: In-situ color highlighting where words pushing toward dark patterns are rendered in glowing amber and benign words in emerald.</w:t>
      </w:r>
    </w:p>
    <w:p>
      <w:pPr>
        <w:pStyle w:val="ListBullet"/>
        <w:spacing w:line="288" w:lineRule="auto" w:after="80"/>
        <w:jc w:val="both"/>
      </w:pPr>
      <w:r>
        <w:rPr>
          <w:rFonts w:ascii="Times New Roman" w:hAnsi="Times New Roman"/>
          <w:b/>
          <w:color w:val="1B365D"/>
          <w:sz w:val="24"/>
        </w:rPr>
        <w:t xml:space="preserve">Feature 4: </w:t>
      </w:r>
      <w:r>
        <w:rPr>
          <w:rFonts w:ascii="Times New Roman" w:hAnsi="Times New Roman"/>
          <w:color w:val="1E1E1E"/>
          <w:sz w:val="24"/>
        </w:rPr>
        <w:t>Custom Theme Aesthetics: Tailored dark-mode styling with custom glowing amber scrollbars, glassmorphic card containers, and zero layout shift.</w:t>
      </w:r>
    </w:p>
    <w:p>
      <w:pPr>
        <w:keepNext/>
        <w:spacing w:before="200" w:after="80"/>
      </w:pPr>
      <w:r>
        <w:rPr>
          <w:rFonts w:ascii="Times New Roman" w:hAnsi="Times New Roman"/>
          <w:b/>
          <w:i/>
          <w:color w:val="323232"/>
          <w:sz w:val="24"/>
        </w:rPr>
        <w:t>7.3 Chrome Browser Extension (Manifest V3)</w:t>
      </w:r>
    </w:p>
    <w:p>
      <w:pPr>
        <w:spacing w:line="300" w:lineRule="auto" w:after="120"/>
        <w:jc w:val="both"/>
      </w:pPr>
      <w:r>
        <w:rPr>
          <w:rFonts w:ascii="Times New Roman" w:hAnsi="Times New Roman"/>
          <w:color w:val="1E1E1E"/>
          <w:sz w:val="24"/>
        </w:rPr>
        <w:t>To provide seamless real-time defense during active browsing, we developed a Manifest V3 Chrome Extension (extension/). The extension utilizes a background service worker to capture the active tab's DOM, sends extracted elements to the local FastAPI backend, and injects visual DOM overlays highlighting deceptive elements directly on the shopping website.</w:t>
      </w:r>
    </w:p>
    <w:p>
      <w:pPr>
        <w:keepNext/>
        <w:spacing w:before="200" w:after="80"/>
      </w:pPr>
      <w:r>
        <w:rPr>
          <w:rFonts w:ascii="Times New Roman" w:hAnsi="Times New Roman"/>
          <w:b/>
          <w:i/>
          <w:color w:val="323232"/>
          <w:sz w:val="24"/>
        </w:rPr>
        <w:t>7.4 Containerization and Continuous Integration (CI/CD)</w:t>
      </w:r>
    </w:p>
    <w:p>
      <w:pPr>
        <w:spacing w:line="300" w:lineRule="auto" w:after="120"/>
        <w:jc w:val="both"/>
      </w:pPr>
      <w:r>
        <w:rPr>
          <w:rFonts w:ascii="Times New Roman" w:hAnsi="Times New Roman"/>
          <w:color w:val="1E1E1E"/>
          <w:sz w:val="24"/>
        </w:rPr>
        <w:t>The system is packaged into a production Docker container (Dockerfile) bundling the Python 3.10 runtime, Playwright Chromium dependencies, and pre-compiled model artifacts. Continuous Integration is automated via GitHub Actions (.github/workflows/ci.yaml), executing automated schema validation and pytest unit tests upon every code push.</w:t>
      </w:r>
    </w:p>
    <w:p>
      <w:r>
        <w:br w:type="page"/>
      </w:r>
    </w:p>
    <w:p>
      <w:pPr>
        <w:keepNext/>
        <w:spacing w:before="400" w:after="160"/>
      </w:pPr>
      <w:r>
        <w:rPr>
          <w:rFonts w:ascii="Times New Roman" w:hAnsi="Times New Roman"/>
          <w:b/>
          <w:color w:val="1B365D"/>
          <w:sz w:val="30"/>
        </w:rPr>
        <w:t>CHAPTER 8</w:t>
      </w:r>
    </w:p>
    <w:p>
      <w:pPr>
        <w:keepNext/>
        <w:spacing w:before="280" w:after="120"/>
      </w:pPr>
      <w:r>
        <w:rPr>
          <w:rFonts w:ascii="Times New Roman" w:hAnsi="Times New Roman"/>
          <w:b/>
          <w:color w:val="29528A"/>
          <w:sz w:val="26"/>
        </w:rPr>
        <w:t>DISCUSSION, LIMITATIONS &amp; ETHICAL CONSIDERATIONS</w:t>
      </w:r>
    </w:p>
    <w:p>
      <w:pPr>
        <w:keepNext/>
        <w:spacing w:before="200" w:after="80"/>
      </w:pPr>
      <w:r>
        <w:rPr>
          <w:rFonts w:ascii="Times New Roman" w:hAnsi="Times New Roman"/>
          <w:b/>
          <w:i/>
          <w:color w:val="323232"/>
          <w:sz w:val="24"/>
        </w:rPr>
        <w:t>8.1 Error Analysis and Deceptive Evasion Strategies</w:t>
      </w:r>
    </w:p>
    <w:p>
      <w:pPr>
        <w:spacing w:line="300" w:lineRule="auto" w:after="120"/>
        <w:jc w:val="both"/>
      </w:pPr>
      <w:r>
        <w:rPr>
          <w:rFonts w:ascii="Times New Roman" w:hAnsi="Times New Roman"/>
          <w:color w:val="1E1E1E"/>
          <w:sz w:val="24"/>
        </w:rPr>
        <w:t>A qualitative review of classification errors reveals that false negatives predominantly occur when e-commerce retailers employ highly subtle or colloquial phrasing (e.g., 'Almost everyone chose this package') that lacks typical urgency keywords. Conversely, rare false positives can arise when authentic inventory stock counts legitimately display low remaining numbers. DarkShield AI mitigates this through human-in-the-loop SHAP inspection, allowing users to verify the exact lexical justification.</w:t>
      </w:r>
    </w:p>
    <w:p>
      <w:pPr>
        <w:keepNext/>
        <w:spacing w:before="200" w:after="80"/>
      </w:pPr>
      <w:r>
        <w:rPr>
          <w:rFonts w:ascii="Times New Roman" w:hAnsi="Times New Roman"/>
          <w:b/>
          <w:i/>
          <w:color w:val="323232"/>
          <w:sz w:val="24"/>
        </w:rPr>
        <w:t>8.2 System Limitations</w:t>
      </w:r>
    </w:p>
    <w:p>
      <w:pPr>
        <w:spacing w:line="300" w:lineRule="auto" w:after="120"/>
        <w:jc w:val="both"/>
      </w:pPr>
      <w:r>
        <w:rPr>
          <w:rFonts w:ascii="Times New Roman" w:hAnsi="Times New Roman"/>
          <w:color w:val="1E1E1E"/>
          <w:sz w:val="24"/>
        </w:rPr>
        <w:t>Two principal technical limitations warrant acknowledgment:</w:t>
      </w:r>
    </w:p>
    <w:p>
      <w:pPr>
        <w:pStyle w:val="ListBullet"/>
        <w:spacing w:line="288" w:lineRule="auto" w:after="80"/>
        <w:jc w:val="both"/>
      </w:pPr>
      <w:r>
        <w:rPr>
          <w:rFonts w:ascii="Times New Roman" w:hAnsi="Times New Roman"/>
          <w:b/>
          <w:color w:val="1B365D"/>
          <w:sz w:val="24"/>
        </w:rPr>
        <w:t xml:space="preserve">1. Visual Geometry: </w:t>
      </w:r>
      <w:r>
        <w:rPr>
          <w:rFonts w:ascii="Times New Roman" w:hAnsi="Times New Roman"/>
          <w:color w:val="1E1E1E"/>
          <w:sz w:val="24"/>
        </w:rPr>
        <w:t>Absence of Spatial Computer Vision: The current implementation analyzes text semantics and DOM tag attributes. However, certain dark patterns—such as visual interference (rendering a 'Decline' button in low-contrast light gray on white)—depend on visual geometry and styling rather than text semantics alone.</w:t>
      </w:r>
    </w:p>
    <w:p>
      <w:pPr>
        <w:pStyle w:val="ListBullet"/>
        <w:spacing w:line="288" w:lineRule="auto" w:after="80"/>
        <w:jc w:val="both"/>
      </w:pPr>
      <w:r>
        <w:rPr>
          <w:rFonts w:ascii="Times New Roman" w:hAnsi="Times New Roman"/>
          <w:b/>
          <w:color w:val="1B365D"/>
          <w:sz w:val="24"/>
        </w:rPr>
        <w:t xml:space="preserve">2. Canvas Animation: </w:t>
      </w:r>
      <w:r>
        <w:rPr>
          <w:rFonts w:ascii="Times New Roman" w:hAnsi="Times New Roman"/>
          <w:color w:val="1E1E1E"/>
          <w:sz w:val="24"/>
        </w:rPr>
        <w:t>Ephemeral JavaScript Animations: Dynamic countdown timers that decrement via pure JavaScript Canvas rendering without updating the DOM tree cannot be captured by text parsers.</w:t>
      </w:r>
    </w:p>
    <w:p>
      <w:pPr>
        <w:keepNext/>
        <w:spacing w:before="200" w:after="80"/>
      </w:pPr>
      <w:r>
        <w:rPr>
          <w:rFonts w:ascii="Times New Roman" w:hAnsi="Times New Roman"/>
          <w:b/>
          <w:i/>
          <w:color w:val="323232"/>
          <w:sz w:val="24"/>
        </w:rPr>
        <w:t>8.3 Ethical Web Scraping and Privacy Considerations</w:t>
      </w:r>
    </w:p>
    <w:p>
      <w:pPr>
        <w:spacing w:line="300" w:lineRule="auto" w:after="120"/>
        <w:jc w:val="both"/>
      </w:pPr>
      <w:r>
        <w:rPr>
          <w:rFonts w:ascii="Times New Roman" w:hAnsi="Times New Roman"/>
          <w:color w:val="1E1E1E"/>
          <w:sz w:val="24"/>
        </w:rPr>
        <w:t>DarkShield AI strictly adheres to ethical automated auditing principles. The Playwright scraper respects website rate limits (avoiding denial-of-service conditions), does not store session cookies, and processes only publicly accessible client-side UI text, ensuring complete privacy compliance without storing personal consumer data.</w:t>
      </w:r>
    </w:p>
    <w:p>
      <w:r>
        <w:br w:type="page"/>
      </w:r>
    </w:p>
    <w:p>
      <w:pPr>
        <w:keepNext/>
        <w:spacing w:before="400" w:after="160"/>
      </w:pPr>
      <w:r>
        <w:rPr>
          <w:rFonts w:ascii="Times New Roman" w:hAnsi="Times New Roman"/>
          <w:b/>
          <w:color w:val="1B365D"/>
          <w:sz w:val="30"/>
        </w:rPr>
        <w:t>CHAPTER 9</w:t>
      </w:r>
    </w:p>
    <w:p>
      <w:pPr>
        <w:keepNext/>
        <w:spacing w:before="280" w:after="120"/>
      </w:pPr>
      <w:r>
        <w:rPr>
          <w:rFonts w:ascii="Times New Roman" w:hAnsi="Times New Roman"/>
          <w:b/>
          <w:color w:val="29528A"/>
          <w:sz w:val="26"/>
        </w:rPr>
        <w:t>CONCLUSION &amp; FUTURE SCOPE</w:t>
      </w:r>
    </w:p>
    <w:p>
      <w:pPr>
        <w:keepNext/>
        <w:spacing w:before="200" w:after="80"/>
      </w:pPr>
      <w:r>
        <w:rPr>
          <w:rFonts w:ascii="Times New Roman" w:hAnsi="Times New Roman"/>
          <w:b/>
          <w:i/>
          <w:color w:val="323232"/>
          <w:sz w:val="24"/>
        </w:rPr>
        <w:t>9.1 Summary of Contributions</w:t>
      </w:r>
    </w:p>
    <w:p>
      <w:pPr>
        <w:spacing w:line="300" w:lineRule="auto" w:after="120"/>
        <w:jc w:val="both"/>
      </w:pPr>
      <w:r>
        <w:rPr>
          <w:rFonts w:ascii="Times New Roman" w:hAnsi="Times New Roman"/>
          <w:color w:val="1E1E1E"/>
          <w:sz w:val="24"/>
        </w:rPr>
        <w:t>In this project, we successfully engineered and validated DarkShield AI, an industry-grade machine learning platform for automated dark pattern detection in e-commerce interfaces. Key achievements include:</w:t>
      </w:r>
    </w:p>
    <w:p>
      <w:pPr>
        <w:pStyle w:val="ListBullet"/>
        <w:spacing w:line="288" w:lineRule="auto" w:after="80"/>
        <w:jc w:val="both"/>
      </w:pPr>
      <w:r>
        <w:rPr>
          <w:rFonts w:ascii="Times New Roman" w:hAnsi="Times New Roman"/>
          <w:b/>
          <w:color w:val="1B365D"/>
          <w:sz w:val="24"/>
        </w:rPr>
        <w:t xml:space="preserve">1. MLOps Standard: </w:t>
      </w:r>
      <w:r>
        <w:rPr>
          <w:rFonts w:ascii="Times New Roman" w:hAnsi="Times New Roman"/>
          <w:color w:val="1E1E1E"/>
          <w:sz w:val="24"/>
        </w:rPr>
        <w:t>Established a complete, reproducible MLOps pipeline covering data validation, transformation, training, evaluation, and automated model registry deployment.</w:t>
      </w:r>
    </w:p>
    <w:p>
      <w:pPr>
        <w:pStyle w:val="ListBullet"/>
        <w:spacing w:line="288" w:lineRule="auto" w:after="80"/>
        <w:jc w:val="both"/>
      </w:pPr>
      <w:r>
        <w:rPr>
          <w:rFonts w:ascii="Times New Roman" w:hAnsi="Times New Roman"/>
          <w:b/>
          <w:color w:val="1B365D"/>
          <w:sz w:val="24"/>
        </w:rPr>
        <w:t xml:space="preserve">2. Empirical Rigor: </w:t>
      </w:r>
      <w:r>
        <w:rPr>
          <w:rFonts w:ascii="Times New Roman" w:hAnsi="Times New Roman"/>
          <w:color w:val="1E1E1E"/>
          <w:sz w:val="24"/>
        </w:rPr>
        <w:t>Benchmarked four distinct ML paradigms, demonstrating that Gated Recurrent Units (GRU) achieve state-of-the-art accuracy of 94.92% (F1: 94.87%), while Linear SVM delivers peak precision of 96.40%.</w:t>
      </w:r>
    </w:p>
    <w:p>
      <w:pPr>
        <w:pStyle w:val="ListBullet"/>
        <w:spacing w:line="288" w:lineRule="auto" w:after="80"/>
        <w:jc w:val="both"/>
      </w:pPr>
      <w:r>
        <w:rPr>
          <w:rFonts w:ascii="Times New Roman" w:hAnsi="Times New Roman"/>
          <w:b/>
          <w:color w:val="1B365D"/>
          <w:sz w:val="24"/>
        </w:rPr>
        <w:t xml:space="preserve">3. False Positive Fix: </w:t>
      </w:r>
      <w:r>
        <w:rPr>
          <w:rFonts w:ascii="Times New Roman" w:hAnsi="Times New Roman"/>
          <w:color w:val="1E1E1E"/>
          <w:sz w:val="24"/>
        </w:rPr>
        <w:t>Eliminated the pervasive whole-page false-positive flaw through a novel Calibrated Granular Element-Level Auditing Engine and a stealth Playwright Chromium crawler.</w:t>
      </w:r>
    </w:p>
    <w:p>
      <w:pPr>
        <w:pStyle w:val="ListBullet"/>
        <w:spacing w:line="288" w:lineRule="auto" w:after="80"/>
        <w:jc w:val="both"/>
      </w:pPr>
      <w:r>
        <w:rPr>
          <w:rFonts w:ascii="Times New Roman" w:hAnsi="Times New Roman"/>
          <w:b/>
          <w:color w:val="1B365D"/>
          <w:sz w:val="24"/>
        </w:rPr>
        <w:t xml:space="preserve">4. Explainable AI: </w:t>
      </w:r>
      <w:r>
        <w:rPr>
          <w:rFonts w:ascii="Times New Roman" w:hAnsi="Times New Roman"/>
          <w:color w:val="1E1E1E"/>
          <w:sz w:val="24"/>
        </w:rPr>
        <w:t>Integrated SHAP game-theoretic explainability across all models, demystifying the black box and visually exposing deceptive tokens.</w:t>
      </w:r>
    </w:p>
    <w:p>
      <w:pPr>
        <w:pStyle w:val="ListBullet"/>
        <w:spacing w:line="288" w:lineRule="auto" w:after="80"/>
        <w:jc w:val="both"/>
      </w:pPr>
      <w:r>
        <w:rPr>
          <w:rFonts w:ascii="Times New Roman" w:hAnsi="Times New Roman"/>
          <w:b/>
          <w:color w:val="1B365D"/>
          <w:sz w:val="24"/>
        </w:rPr>
        <w:t xml:space="preserve">5. Full-Stack Delivery: </w:t>
      </w:r>
      <w:r>
        <w:rPr>
          <w:rFonts w:ascii="Times New Roman" w:hAnsi="Times New Roman"/>
          <w:color w:val="1E1E1E"/>
          <w:sz w:val="24"/>
        </w:rPr>
        <w:t>Delivered a comprehensive deployment suite comprising a FastAPI backend, an interactive React/Vite dashboard, and a Manifest V3 Chrome Extension.</w:t>
      </w:r>
    </w:p>
    <w:p>
      <w:pPr>
        <w:keepNext/>
        <w:spacing w:before="200" w:after="80"/>
      </w:pPr>
      <w:r>
        <w:rPr>
          <w:rFonts w:ascii="Times New Roman" w:hAnsi="Times New Roman"/>
          <w:b/>
          <w:i/>
          <w:color w:val="323232"/>
          <w:sz w:val="24"/>
        </w:rPr>
        <w:t>9.2 Future Research Directions</w:t>
      </w:r>
    </w:p>
    <w:p>
      <w:pPr>
        <w:spacing w:line="300" w:lineRule="auto" w:after="120"/>
        <w:jc w:val="both"/>
      </w:pPr>
      <w:r>
        <w:rPr>
          <w:rFonts w:ascii="Times New Roman" w:hAnsi="Times New Roman"/>
          <w:color w:val="1E1E1E"/>
          <w:sz w:val="24"/>
        </w:rPr>
        <w:t>Future enhancements for DarkShield AI include:</w:t>
      </w:r>
    </w:p>
    <w:p>
      <w:pPr>
        <w:pStyle w:val="ListBullet"/>
        <w:spacing w:line="288" w:lineRule="auto" w:after="80"/>
        <w:jc w:val="both"/>
      </w:pPr>
      <w:r>
        <w:rPr>
          <w:rFonts w:ascii="Times New Roman" w:hAnsi="Times New Roman"/>
          <w:b/>
          <w:color w:val="1B365D"/>
          <w:sz w:val="24"/>
        </w:rPr>
        <w:t xml:space="preserve">1. Multimodality: </w:t>
      </w:r>
      <w:r>
        <w:rPr>
          <w:rFonts w:ascii="Times New Roman" w:hAnsi="Times New Roman"/>
          <w:color w:val="1E1E1E"/>
          <w:sz w:val="24"/>
        </w:rPr>
        <w:t>Multimodal Vision-Language Models (VLM): Incorporating LayoutLM and CLIP architectures to jointly analyze textual semantics, bounding box coordinates, and visual color contrast ratios.</w:t>
      </w:r>
    </w:p>
    <w:p>
      <w:pPr>
        <w:pStyle w:val="ListBullet"/>
        <w:spacing w:line="288" w:lineRule="auto" w:after="80"/>
        <w:jc w:val="both"/>
      </w:pPr>
      <w:r>
        <w:rPr>
          <w:rFonts w:ascii="Times New Roman" w:hAnsi="Times New Roman"/>
          <w:b/>
          <w:color w:val="1B365D"/>
          <w:sz w:val="24"/>
        </w:rPr>
        <w:t xml:space="preserve">2. DOM Observers: </w:t>
      </w:r>
      <w:r>
        <w:rPr>
          <w:rFonts w:ascii="Times New Roman" w:hAnsi="Times New Roman"/>
          <w:color w:val="1E1E1E"/>
          <w:sz w:val="24"/>
        </w:rPr>
        <w:t>Real-Time DOM Mutation Tracking: Utilizing MutationObserver APIs in the browser extension to intercept ephemeral popups and dynamic countdown animations.</w:t>
      </w:r>
    </w:p>
    <w:p>
      <w:pPr>
        <w:pStyle w:val="ListBullet"/>
        <w:spacing w:line="288" w:lineRule="auto" w:after="80"/>
        <w:jc w:val="both"/>
      </w:pPr>
      <w:r>
        <w:rPr>
          <w:rFonts w:ascii="Times New Roman" w:hAnsi="Times New Roman"/>
          <w:b/>
          <w:color w:val="1B365D"/>
          <w:sz w:val="24"/>
        </w:rPr>
        <w:t xml:space="preserve">3. Legal Automation: </w:t>
      </w:r>
      <w:r>
        <w:rPr>
          <w:rFonts w:ascii="Times New Roman" w:hAnsi="Times New Roman"/>
          <w:color w:val="1E1E1E"/>
          <w:sz w:val="24"/>
        </w:rPr>
        <w:t>Regulatory Compliance Reporting: Generating automated legal compliance audit reports formatted for submission to regulatory bodies like the FTC and CCPA.</w:t>
      </w:r>
    </w:p>
    <w:p>
      <w:r>
        <w:br w:type="page"/>
      </w:r>
    </w:p>
    <w:p>
      <w:pPr>
        <w:keepNext/>
        <w:spacing w:before="400" w:after="160"/>
      </w:pPr>
      <w:r>
        <w:rPr>
          <w:rFonts w:ascii="Times New Roman" w:hAnsi="Times New Roman"/>
          <w:b/>
          <w:color w:val="1B365D"/>
          <w:sz w:val="30"/>
        </w:rPr>
        <w:t>REFERENCES</w:t>
      </w:r>
    </w:p>
    <w:p>
      <w:pPr>
        <w:spacing w:line="276" w:lineRule="auto" w:after="80"/>
        <w:jc w:val="both"/>
      </w:pPr>
      <w:r>
        <w:rPr>
          <w:rFonts w:ascii="Times New Roman" w:hAnsi="Times New Roman"/>
          <w:sz w:val="20"/>
        </w:rPr>
        <w:t>[1] H. Brignull, "Dark Patterns: Deception vs. Honesty in UI Design," A List Apart, vol. 318, 2010.</w:t>
      </w:r>
    </w:p>
    <w:p>
      <w:pPr>
        <w:spacing w:line="276" w:lineRule="auto" w:after="80"/>
        <w:jc w:val="both"/>
      </w:pPr>
      <w:r>
        <w:rPr>
          <w:rFonts w:ascii="Times New Roman" w:hAnsi="Times New Roman"/>
          <w:sz w:val="20"/>
        </w:rPr>
        <w:t>[2] A. Mathur, G. Acar, M. J. Friedman, E. Lucherini, P. Mayer, M. Chetty, and A. Narayanan, "Dark Patterns at Scale: Findings from a Crawl of 11K Shopping Websites," Proceedings of the ACM on Human-Computer Interaction, vol. 3, no. CSCW, pp. 1-32, Nov. 2019.</w:t>
      </w:r>
    </w:p>
    <w:p>
      <w:pPr>
        <w:spacing w:line="276" w:lineRule="auto" w:after="80"/>
        <w:jc w:val="both"/>
      </w:pPr>
      <w:r>
        <w:rPr>
          <w:rFonts w:ascii="Times New Roman" w:hAnsi="Times New Roman"/>
          <w:sz w:val="20"/>
        </w:rPr>
        <w:t>[3] C. M. Gray, Y. Kou, B. Battles, J. Hoggatt, and A. L. Toombs, "The Dark (Patterns) Side of UX Design," in Proceedings of the 2018 CHI Conference on Human Factors in Computing Systems, ACM, 2018, pp. 1-14.</w:t>
      </w:r>
    </w:p>
    <w:p>
      <w:pPr>
        <w:spacing w:line="276" w:lineRule="auto" w:after="80"/>
        <w:jc w:val="both"/>
      </w:pPr>
      <w:r>
        <w:rPr>
          <w:rFonts w:ascii="Times New Roman" w:hAnsi="Times New Roman"/>
          <w:sz w:val="20"/>
        </w:rPr>
        <w:t>[4] L. Di Geronimo, L. Braz, E. Fregnan, F. Palomba, and A. Bacchelli, "UI Dark Patterns and Where to Find Them: A Study on Mobile Applications," in Proceedings of the 2020 CHI Conference on Human Factors in Computing Systems, ACM, 2020, pp. 1-14.</w:t>
      </w:r>
    </w:p>
    <w:p>
      <w:pPr>
        <w:spacing w:line="276" w:lineRule="auto" w:after="80"/>
        <w:jc w:val="both"/>
      </w:pPr>
      <w:r>
        <w:rPr>
          <w:rFonts w:ascii="Times New Roman" w:hAnsi="Times New Roman"/>
          <w:sz w:val="20"/>
        </w:rPr>
        <w:t>[5] S. M. Lundberg and S.-I. Lee, "A Unified Approach to Interpreting Model Predictions," in Advances in Neural Information Processing Systems (NeurIPS 2017), vol. 30, 2017, pp. 4765-4774.</w:t>
      </w:r>
    </w:p>
    <w:p>
      <w:pPr>
        <w:spacing w:line="276" w:lineRule="auto" w:after="80"/>
        <w:jc w:val="both"/>
      </w:pPr>
      <w:r>
        <w:rPr>
          <w:rFonts w:ascii="Times New Roman" w:hAnsi="Times New Roman"/>
          <w:sz w:val="20"/>
        </w:rPr>
        <w:t>[6] S. Hochreiter and J. Schmidhuber, "Long Short-Term Memory," Neural Computation, vol. 9, no. 8, pp. 1735-1780, 1997.</w:t>
      </w:r>
    </w:p>
    <w:p>
      <w:pPr>
        <w:spacing w:line="276" w:lineRule="auto" w:after="80"/>
        <w:jc w:val="both"/>
      </w:pPr>
      <w:r>
        <w:rPr>
          <w:rFonts w:ascii="Times New Roman" w:hAnsi="Times New Roman"/>
          <w:sz w:val="20"/>
        </w:rPr>
        <w:t>[7] K. Cho, B. van Merrienboer, D. Bahdanau, and Y. Bengio, "On the Properties of Neural Machine Translation: Encoder-Decoder Approaches," in Proceedings of SSST-8, Eighth Workshop on Syntax, Semantics and Structure in Statistical Translation, 2014, pp. 103-111.</w:t>
      </w:r>
    </w:p>
    <w:p>
      <w:pPr>
        <w:spacing w:line="276" w:lineRule="auto" w:after="80"/>
        <w:jc w:val="both"/>
      </w:pPr>
      <w:r>
        <w:rPr>
          <w:rFonts w:ascii="Times New Roman" w:hAnsi="Times New Roman"/>
          <w:sz w:val="20"/>
        </w:rPr>
        <w:t>[8] T. Soe, O. Nordberg, F. C. Santos, and N. D. Bielefeld, "Circumventing Dark Patterns with Machine Learning," in Extended Abstracts of the 2020 CHI Conference on Human Factors in Computing Systems, 2020, pp. 1-9.</w:t>
      </w:r>
    </w:p>
    <w:p>
      <w:pPr>
        <w:spacing w:line="276" w:lineRule="auto" w:after="80"/>
        <w:jc w:val="both"/>
      </w:pPr>
      <w:r>
        <w:rPr>
          <w:rFonts w:ascii="Times New Roman" w:hAnsi="Times New Roman"/>
          <w:sz w:val="20"/>
        </w:rPr>
        <w:t>[9] S. Yada, K. Morita, and S. Hashimoto, "Automated Detection of Manipulative Language in Commercial Web Interfaces," IEEE Access, vol. 10, pp. 45210-45221, 2022.</w:t>
      </w:r>
    </w:p>
    <w:p>
      <w:pPr>
        <w:spacing w:line="276" w:lineRule="auto" w:after="80"/>
        <w:jc w:val="both"/>
      </w:pPr>
      <w:r>
        <w:rPr>
          <w:rFonts w:ascii="Times New Roman" w:hAnsi="Times New Roman"/>
          <w:sz w:val="20"/>
        </w:rPr>
        <w:t>[10] Federal Trade Commission (FTC), "Bringing Dark Patterns to Light: An FTC Staff Report," FTC Bureau of Consumer Protection, Washington, D.C., Tech. Rep., Sep. 2022.</w:t>
      </w:r>
    </w:p>
    <w:p>
      <w:pPr>
        <w:spacing w:line="276" w:lineRule="auto" w:after="80"/>
        <w:jc w:val="both"/>
      </w:pPr>
      <w:r>
        <w:rPr>
          <w:rFonts w:ascii="Times New Roman" w:hAnsi="Times New Roman"/>
          <w:sz w:val="20"/>
        </w:rPr>
        <w:t>[11] European Parliament and Council of the European Union, "Regulation (EU) 2022/2065 on a Single Market For Digital Services (Digital Services Act)," Official Journal of the European Union, L 277/1, Oct. 2022.</w:t>
      </w:r>
    </w:p>
    <w:p>
      <w:pPr>
        <w:spacing w:line="276" w:lineRule="auto" w:after="80"/>
        <w:jc w:val="both"/>
      </w:pPr>
      <w:r>
        <w:rPr>
          <w:rFonts w:ascii="Times New Roman" w:hAnsi="Times New Roman"/>
          <w:sz w:val="20"/>
        </w:rPr>
        <w:t>[12] Central Consumer Protection Authority (CCPA), "Guidelines for Prevention and Regulation of Dark Patterns, 2023," Ministry of Consumer Affairs, Government of India, Notification F. No. J-25/57/2023-CCPA, Nov. 2023.</w:t>
      </w:r>
    </w:p>
    <w:p>
      <w:pPr>
        <w:spacing w:line="276" w:lineRule="auto" w:after="80"/>
        <w:jc w:val="both"/>
      </w:pPr>
      <w:r>
        <w:rPr>
          <w:rFonts w:ascii="Times New Roman" w:hAnsi="Times New Roman"/>
          <w:sz w:val="20"/>
        </w:rPr>
        <w:t>[13] Advertising Standards Council of India (ASCI), "Guidelines for Online Deceptive Design Patterns in Advertising," ASCI Consumer Protection Council, Mumbai, Tech. Rep., Jun. 2023.</w:t>
      </w:r>
    </w:p>
    <w:p>
      <w:pPr>
        <w:spacing w:line="276" w:lineRule="auto" w:after="80"/>
        <w:jc w:val="both"/>
      </w:pPr>
      <w:r>
        <w:rPr>
          <w:rFonts w:ascii="Times New Roman" w:hAnsi="Times New Roman"/>
          <w:sz w:val="20"/>
        </w:rPr>
        <w:t>[14] F. Pedregosa, G. Varoquaux, A. Gramfort, et al., "Scikit-learn: Machine Learning in Python," Journal of Machine Learning Research, vol. 12, pp. 2825-2830, 2011.</w:t>
      </w:r>
    </w:p>
    <w:p>
      <w:pPr>
        <w:spacing w:line="276" w:lineRule="auto" w:after="80"/>
        <w:jc w:val="both"/>
      </w:pPr>
      <w:r>
        <w:rPr>
          <w:rFonts w:ascii="Times New Roman" w:hAnsi="Times New Roman"/>
          <w:sz w:val="20"/>
        </w:rPr>
        <w:t>[15] A. Paszke, S. Gross, F. Massa, et al., "PyTorch: An Imperative Style, High-Performance Deep Learning Library," in Advances in Neural Information Processing Systems (NeurIPS 2019), vol. 32, 2019.</w:t>
      </w:r>
    </w:p>
    <w:p>
      <w:pPr>
        <w:spacing w:line="276" w:lineRule="auto" w:after="80"/>
        <w:jc w:val="both"/>
      </w:pPr>
      <w:r>
        <w:rPr>
          <w:rFonts w:ascii="Times New Roman" w:hAnsi="Times New Roman"/>
          <w:sz w:val="20"/>
        </w:rPr>
        <w:t>[16] S. Raschka, "Model Evaluation, Model Selection, and Algorithm Selection in Machine Learning," arXiv preprint arXiv:1811.12808, 2018.</w:t>
      </w:r>
    </w:p>
    <w:p>
      <w:pPr>
        <w:spacing w:line="276" w:lineRule="auto" w:after="80"/>
        <w:jc w:val="both"/>
      </w:pPr>
      <w:r>
        <w:rPr>
          <w:rFonts w:ascii="Times New Roman" w:hAnsi="Times New Roman"/>
          <w:sz w:val="20"/>
        </w:rPr>
        <w:t>[17] T. Fawcett, "An Introduction to ROC Analysis," Pattern Recognition Letters, vol. 27, no. 8, pp. 861-874, 2006.</w:t>
      </w:r>
    </w:p>
    <w:p>
      <w:pPr>
        <w:spacing w:line="276" w:lineRule="auto" w:after="80"/>
        <w:jc w:val="both"/>
      </w:pPr>
      <w:r>
        <w:rPr>
          <w:rFonts w:ascii="Times New Roman" w:hAnsi="Times New Roman"/>
          <w:sz w:val="20"/>
        </w:rPr>
        <w:t>[18] M. T. Ribeiro, S. Singh, and C. Guestrin, "'Why Should I Trust You?': Explaining the Predictions of Any Classifier," in Proceedings of the 22nd ACM SIGKDD International Conference on Knowledge Discovery and Data Mining, 2016, pp. 1135-1144.</w:t>
      </w:r>
    </w:p>
    <w:p>
      <w:pPr>
        <w:spacing w:line="276" w:lineRule="auto" w:after="80"/>
        <w:jc w:val="both"/>
      </w:pPr>
      <w:r>
        <w:rPr>
          <w:rFonts w:ascii="Times New Roman" w:hAnsi="Times New Roman"/>
          <w:sz w:val="20"/>
        </w:rPr>
        <w:t>[19] Playwright Team, "Playwright: Fast and reliable end-to-end testing for modern web apps," Microsoft Corporation, 2024. [Online]. Available: https://playwright.dev/.</w:t>
      </w:r>
    </w:p>
    <w:p>
      <w:pPr>
        <w:spacing w:line="276" w:lineRule="auto" w:after="80"/>
        <w:jc w:val="both"/>
      </w:pPr>
      <w:r>
        <w:rPr>
          <w:rFonts w:ascii="Times New Roman" w:hAnsi="Times New Roman"/>
          <w:sz w:val="20"/>
        </w:rPr>
        <w:t>[20] S. Ramirez, "FastAPI: Modern, Fast (High-Performance) Web Framework for Building APIs with Python," 2024. [Online]. Available: https://fastapi.tiangolo.com/.</w:t>
      </w:r>
    </w:p>
    <w:p>
      <w:pPr>
        <w:spacing w:line="276" w:lineRule="auto" w:after="80"/>
        <w:jc w:val="both"/>
      </w:pPr>
      <w:r>
        <w:rPr>
          <w:rFonts w:ascii="Times New Roman" w:hAnsi="Times New Roman"/>
          <w:sz w:val="20"/>
        </w:rPr>
        <w:t>[21] Chrome Extensions Team, "Manifest V3 Migration and Architectural Standards," Google Developers, 2024. [Online]. Available: https://developer.chrome.com/docs/extensions/develop/migrate/what-is-mv3.</w:t>
      </w:r>
    </w:p>
    <w:p>
      <w:pPr>
        <w:spacing w:line="276" w:lineRule="auto" w:after="80"/>
        <w:jc w:val="both"/>
      </w:pPr>
      <w:r>
        <w:rPr>
          <w:rFonts w:ascii="Times New Roman" w:hAnsi="Times New Roman"/>
          <w:sz w:val="20"/>
        </w:rPr>
        <w:t>[22] Y. Xu, M. Li, L. Cui, S. Huang, F. Wei, and M. Zhou, "LayoutLM: Pre-training of Text and Layout for Document Image Understanding," in Proceedings of the 26th ACM SIGKDD International Conference on Knowledge Discovery &amp; Data Mining, 2020, pp. 1192-1200.</w:t>
      </w:r>
    </w:p>
    <w:p>
      <w:r>
        <w:br w:type="page"/>
      </w:r>
    </w:p>
    <w:p>
      <w:pPr>
        <w:keepNext/>
        <w:spacing w:before="400" w:after="160"/>
      </w:pPr>
      <w:r>
        <w:rPr>
          <w:rFonts w:ascii="Times New Roman" w:hAnsi="Times New Roman"/>
          <w:b/>
          <w:color w:val="1B365D"/>
          <w:sz w:val="30"/>
        </w:rPr>
        <w:t>APPENDIX A</w:t>
      </w:r>
    </w:p>
    <w:p>
      <w:pPr>
        <w:keepNext/>
        <w:spacing w:before="280" w:after="120"/>
      </w:pPr>
      <w:r>
        <w:rPr>
          <w:rFonts w:ascii="Times New Roman" w:hAnsi="Times New Roman"/>
          <w:b/>
          <w:color w:val="29528A"/>
          <w:sz w:val="26"/>
        </w:rPr>
        <w:t>API ENDPOINT SPECIFICATIONS</w:t>
      </w:r>
    </w:p>
    <w:p>
      <w:pPr>
        <w:spacing w:line="300" w:lineRule="auto" w:after="120"/>
        <w:jc w:val="both"/>
      </w:pPr>
      <w:r>
        <w:rPr>
          <w:rFonts w:ascii="Times New Roman" w:hAnsi="Times New Roman"/>
          <w:color w:val="1E1E1E"/>
          <w:sz w:val="24"/>
        </w:rPr>
        <w:t>DarkShield AI backend exposes RESTful endpoints adhering to OpenAPI 3.0 standards:</w:t>
      </w:r>
    </w:p>
    <w:p>
      <w:pPr>
        <w:spacing w:line="300" w:lineRule="auto" w:after="120"/>
        <w:jc w:val="both"/>
      </w:pPr>
      <w:r>
        <w:rPr>
          <w:rFonts w:ascii="Times New Roman" w:hAnsi="Times New Roman"/>
          <w:color w:val="1E1E1E"/>
          <w:sz w:val="24"/>
        </w:rPr>
        <w:t>POST /analyze/all</w:t>
        <w:br/>
        <w:t>Content-Type: application/json</w:t>
        <w:br/>
        <w:t>Request Body: {"text": "Hurry! Only 2 items remaining in stock at this price!"}</w:t>
        <w:br/>
        <w:t>Response Body (200 OK):</w:t>
        <w:br/>
        <w:t>{</w:t>
        <w:br/>
        <w:t xml:space="preserve">  "text": "Hurry! Only 2 items remaining in stock at this price!",</w:t>
        <w:br/>
        <w:t xml:space="preserve">  "predictions": {</w:t>
        <w:br/>
        <w:t xml:space="preserve">    "logistic_regression": {"prediction": 1, "probability": 0.942},</w:t>
        <w:br/>
        <w:t xml:space="preserve">    "svm": {"prediction": 1, "probability": 0.961},</w:t>
        <w:br/>
        <w:t xml:space="preserve">    "lstm": {"prediction": 1, "probability": 0.953},</w:t>
        <w:br/>
        <w:t xml:space="preserve">    "gru": {"prediction": 1, "probability": 0.958}</w:t>
        <w:br/>
        <w:t xml:space="preserve">  },</w:t>
        <w:br/>
        <w:t xml:space="preserve">  "consensus": {"is_dark_pattern": true, "confidence": 0.953}</w:t>
        <w:br/>
        <w:t>}</w:t>
      </w:r>
    </w:p>
    <w:p>
      <w:pPr>
        <w:keepNext/>
        <w:spacing w:before="400" w:after="160"/>
      </w:pPr>
      <w:r>
        <w:rPr>
          <w:rFonts w:ascii="Times New Roman" w:hAnsi="Times New Roman"/>
          <w:b/>
          <w:color w:val="1B365D"/>
          <w:sz w:val="30"/>
        </w:rPr>
        <w:t>APPENDIX B</w:t>
      </w:r>
    </w:p>
    <w:p>
      <w:pPr>
        <w:keepNext/>
        <w:spacing w:before="280" w:after="120"/>
      </w:pPr>
      <w:r>
        <w:rPr>
          <w:rFonts w:ascii="Times New Roman" w:hAnsi="Times New Roman"/>
          <w:b/>
          <w:color w:val="29528A"/>
          <w:sz w:val="26"/>
        </w:rPr>
        <w:t>SOFTWARE AND HARDWARE ENVIRONMENT</w:t>
      </w:r>
    </w:p>
    <w:p>
      <w:pPr>
        <w:pStyle w:val="ListBullet"/>
        <w:spacing w:line="288" w:lineRule="auto" w:after="80"/>
        <w:jc w:val="both"/>
      </w:pPr>
      <w:r>
        <w:rPr>
          <w:rFonts w:ascii="Times New Roman" w:hAnsi="Times New Roman"/>
          <w:b/>
          <w:color w:val="1B365D"/>
          <w:sz w:val="24"/>
        </w:rPr>
        <w:t xml:space="preserve">Hardware: </w:t>
      </w:r>
      <w:r>
        <w:rPr>
          <w:rFonts w:ascii="Times New Roman" w:hAnsi="Times New Roman"/>
          <w:color w:val="1E1E1E"/>
          <w:sz w:val="24"/>
        </w:rPr>
        <w:t>Processor: Intel(R) Core(TM) i7 / AMD Ryzen 7 (8 Cores, 16 Threads @ 3.8 GHz)</w:t>
      </w:r>
    </w:p>
    <w:p>
      <w:pPr>
        <w:pStyle w:val="ListBullet"/>
        <w:spacing w:line="288" w:lineRule="auto" w:after="80"/>
        <w:jc w:val="both"/>
      </w:pPr>
      <w:r>
        <w:rPr>
          <w:rFonts w:ascii="Times New Roman" w:hAnsi="Times New Roman"/>
          <w:b/>
          <w:color w:val="1B365D"/>
          <w:sz w:val="24"/>
        </w:rPr>
        <w:t xml:space="preserve">Memory: </w:t>
      </w:r>
      <w:r>
        <w:rPr>
          <w:rFonts w:ascii="Times New Roman" w:hAnsi="Times New Roman"/>
          <w:color w:val="1E1E1E"/>
          <w:sz w:val="24"/>
        </w:rPr>
        <w:t>System Memory (RAM): 16.0 GB DDR4 @ 3200 MHz</w:t>
      </w:r>
    </w:p>
    <w:p>
      <w:pPr>
        <w:pStyle w:val="ListBullet"/>
        <w:spacing w:line="288" w:lineRule="auto" w:after="80"/>
        <w:jc w:val="both"/>
      </w:pPr>
      <w:r>
        <w:rPr>
          <w:rFonts w:ascii="Times New Roman" w:hAnsi="Times New Roman"/>
          <w:b/>
          <w:color w:val="1B365D"/>
          <w:sz w:val="24"/>
        </w:rPr>
        <w:t xml:space="preserve">OS: </w:t>
      </w:r>
      <w:r>
        <w:rPr>
          <w:rFonts w:ascii="Times New Roman" w:hAnsi="Times New Roman"/>
          <w:color w:val="1E1E1E"/>
          <w:sz w:val="24"/>
        </w:rPr>
        <w:t>Operating System: Microsoft Windows 11 Enterprise (64-bit)</w:t>
      </w:r>
    </w:p>
    <w:p>
      <w:pPr>
        <w:pStyle w:val="ListBullet"/>
        <w:spacing w:line="288" w:lineRule="auto" w:after="80"/>
        <w:jc w:val="both"/>
      </w:pPr>
      <w:r>
        <w:rPr>
          <w:rFonts w:ascii="Times New Roman" w:hAnsi="Times New Roman"/>
          <w:b/>
          <w:color w:val="1B365D"/>
          <w:sz w:val="24"/>
        </w:rPr>
        <w:t xml:space="preserve">Language: </w:t>
      </w:r>
      <w:r>
        <w:rPr>
          <w:rFonts w:ascii="Times New Roman" w:hAnsi="Times New Roman"/>
          <w:color w:val="1E1E1E"/>
          <w:sz w:val="24"/>
        </w:rPr>
        <w:t>Python Runtime: Python 3.10.0 (Virtual Environment)</w:t>
      </w:r>
    </w:p>
    <w:p>
      <w:pPr>
        <w:pStyle w:val="ListBullet"/>
        <w:spacing w:line="288" w:lineRule="auto" w:after="80"/>
        <w:jc w:val="both"/>
      </w:pPr>
      <w:r>
        <w:rPr>
          <w:rFonts w:ascii="Times New Roman" w:hAnsi="Times New Roman"/>
          <w:b/>
          <w:color w:val="1B365D"/>
          <w:sz w:val="24"/>
        </w:rPr>
        <w:t xml:space="preserve">ML &amp; Backend: </w:t>
      </w:r>
      <w:r>
        <w:rPr>
          <w:rFonts w:ascii="Times New Roman" w:hAnsi="Times New Roman"/>
          <w:color w:val="1E1E1E"/>
          <w:sz w:val="24"/>
        </w:rPr>
        <w:t>Core Libraries: PyTorch 2.1.0, Scikit-learn 1.3.2, SHAP 0.44.0, Playwright 1.40.0, FastAPI 0.104.1, python-docx 1.2.0</w:t>
      </w:r>
    </w:p>
    <w:p>
      <w:pPr>
        <w:pStyle w:val="ListBullet"/>
        <w:spacing w:line="288" w:lineRule="auto" w:after="80"/>
        <w:jc w:val="both"/>
      </w:pPr>
      <w:r>
        <w:rPr>
          <w:rFonts w:ascii="Times New Roman" w:hAnsi="Times New Roman"/>
          <w:b/>
          <w:color w:val="1B365D"/>
          <w:sz w:val="24"/>
        </w:rPr>
        <w:t xml:space="preserve">Web Client: </w:t>
      </w:r>
      <w:r>
        <w:rPr>
          <w:rFonts w:ascii="Times New Roman" w:hAnsi="Times New Roman"/>
          <w:color w:val="1E1E1E"/>
          <w:sz w:val="24"/>
        </w:rPr>
        <w:t>Frontend Framework: Node.js v20.10.0, React 18.2.0, Vite 5.0.0, TailwindCSS 3.3.0</w:t>
      </w:r>
    </w:p>
    <w:sectPr w:rsidR="00FC693F" w:rsidRPr="0006063C" w:rsidSect="00034616">
      <w:head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DarkShield AI | Machine Learning (BCSE209L) | VIT Chennai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