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0F172A"/>
          <w:sz w:val="48"/>
        </w:rPr>
        <w:t>AgentShield Master Production Plan</w:t>
      </w:r>
    </w:p>
    <w:p>
      <w:pPr>
        <w:jc w:val="left"/>
      </w:pPr>
      <w:r>
        <w:rPr>
          <w:rFonts w:ascii="Arial" w:hAnsi="Arial"/>
          <w:color w:val="475569"/>
          <w:sz w:val="22"/>
        </w:rPr>
        <w:t>Unified product, architecture, UX, security, implementation, rollout, and acceptance plan.</w:t>
      </w:r>
    </w:p>
    <w:p>
      <w:r>
        <w:rPr>
          <w:rFonts w:ascii="Arial" w:hAnsi="Arial"/>
          <w:color w:val="64748B"/>
          <w:sz w:val="18"/>
        </w:rPr>
        <w:t>Production documentation pack | Version 1.0 | 2026-05-29</w:t>
      </w:r>
    </w:p>
    <w:p>
      <w:pPr>
        <w:pStyle w:val="Heading1"/>
      </w:pPr>
      <w:r>
        <w:t>1. Executive Summary</w:t>
      </w:r>
    </w:p>
    <w:p>
      <w:r>
        <w:t>AgentShield is a production-grade security middleware and observability platform for autonomous and multi-agent LLM systems. It protects the runtime boundary where agents receive messages, exchange handoffs, and invoke tools. The system combines deterministic policy enforcement, cryptographic agent identity, prompt-injection detection, append-only audit logging, trust scoring, and a live operator dashboard.</w:t>
      </w:r>
    </w:p>
    <w:p>
      <w:r>
        <w:t>This plan supersedes the prior PRD, TRD, and design document as the authoritative build source. The original documents remain historical inputs. Their strongest ideas are carried forward: real-time threat detection, identity verification, permission enforcement, hash-chained audit proof, 3D trust visualization, and an attack simulation demo. Their contradictions are resolved here into one production v1 plan.</w:t>
      </w:r>
    </w:p>
    <w:p>
      <w:pPr>
        <w:ind w:left="216"/>
      </w:pPr>
      <w:r>
        <w:rPr>
          <w:b/>
          <w:color w:val="1E3A8A"/>
        </w:rPr>
        <w:t>Production v1 principle: block high-confidence unsafe behavior synchronously, log every protected decision, and run slow AI-assisted enrichment asynchronously unless the caller explicitly requests deep analysis.</w:t>
      </w:r>
    </w:p>
    <w:p>
      <w:pPr>
        <w:pStyle w:val="Heading1"/>
      </w:pPr>
      <w:r>
        <w:t>2. Goals And Success Criteria</w:t>
      </w:r>
    </w:p>
    <w:tbl>
      <w:tblPr>
        <w:tblStyle w:val="TableGrid"/>
        <w:tblW w:type="auto" w:w="0"/>
        <w:jc w:val="left"/>
        <w:tblLook w:firstColumn="1" w:firstRow="1" w:lastColumn="0" w:lastRow="0" w:noHBand="0" w:noVBand="1" w:val="04A0"/>
      </w:tblPr>
      <w:tblGrid>
        <w:gridCol w:w="3293"/>
        <w:gridCol w:w="3293"/>
        <w:gridCol w:w="3293"/>
      </w:tblGrid>
      <w:tr>
        <w:tc>
          <w:tcPr>
            <w:tcW w:type="dxa" w:w="3293"/>
            <w:vAlign w:val="center"/>
            <w:tcMar>
              <w:top w:w="100" w:type="dxa"/>
              <w:start w:w="120" w:type="dxa"/>
              <w:bottom w:w="100" w:type="dxa"/>
              <w:end w:w="120" w:type="dxa"/>
            </w:tcMar>
            <w:shd w:fill="1E3A8A"/>
          </w:tcPr>
          <w:p>
            <w:r>
              <w:rPr>
                <w:rFonts w:ascii="Arial" w:hAnsi="Arial"/>
                <w:b/>
                <w:color w:val="F8FAFC"/>
                <w:sz w:val="17"/>
              </w:rPr>
              <w:t>Goal</w:t>
            </w:r>
          </w:p>
        </w:tc>
        <w:tc>
          <w:tcPr>
            <w:tcW w:type="dxa" w:w="3293"/>
            <w:vAlign w:val="center"/>
            <w:tcMar>
              <w:top w:w="100" w:type="dxa"/>
              <w:start w:w="120" w:type="dxa"/>
              <w:bottom w:w="100" w:type="dxa"/>
              <w:end w:w="120" w:type="dxa"/>
            </w:tcMar>
            <w:shd w:fill="1E3A8A"/>
          </w:tcPr>
          <w:p>
            <w:r>
              <w:rPr>
                <w:rFonts w:ascii="Arial" w:hAnsi="Arial"/>
                <w:b/>
                <w:color w:val="F8FAFC"/>
                <w:sz w:val="17"/>
              </w:rPr>
              <w:t>Production Success Criteria</w:t>
            </w:r>
          </w:p>
        </w:tc>
        <w:tc>
          <w:tcPr>
            <w:tcW w:type="dxa" w:w="3293"/>
            <w:vAlign w:val="center"/>
            <w:tcMar>
              <w:top w:w="100" w:type="dxa"/>
              <w:start w:w="120" w:type="dxa"/>
              <w:bottom w:w="100" w:type="dxa"/>
              <w:end w:w="120" w:type="dxa"/>
            </w:tcMar>
            <w:shd w:fill="1E3A8A"/>
          </w:tcPr>
          <w:p>
            <w:r>
              <w:rPr>
                <w:rFonts w:ascii="Arial" w:hAnsi="Arial"/>
                <w:b/>
                <w:color w:val="F8FAFC"/>
                <w:sz w:val="17"/>
              </w:rPr>
              <w:t>Verification</w:t>
            </w:r>
          </w:p>
        </w:tc>
      </w:tr>
      <w:tr>
        <w:tc>
          <w:tcPr>
            <w:tcW w:type="dxa" w:w="3293"/>
            <w:vAlign w:val="center"/>
            <w:tcMar>
              <w:top w:w="100" w:type="dxa"/>
              <w:start w:w="120" w:type="dxa"/>
              <w:bottom w:w="100" w:type="dxa"/>
              <w:end w:w="120" w:type="dxa"/>
            </w:tcMar>
          </w:tcPr>
          <w:p>
            <w:r>
              <w:rPr>
                <w:rFonts w:ascii="Arial" w:hAnsi="Arial"/>
                <w:sz w:val="17"/>
              </w:rPr>
              <w:t>Runtime security control</w:t>
            </w:r>
          </w:p>
        </w:tc>
        <w:tc>
          <w:tcPr>
            <w:tcW w:type="dxa" w:w="3293"/>
            <w:vAlign w:val="center"/>
            <w:tcMar>
              <w:top w:w="100" w:type="dxa"/>
              <w:start w:w="120" w:type="dxa"/>
              <w:bottom w:w="100" w:type="dxa"/>
              <w:end w:w="120" w:type="dxa"/>
            </w:tcMar>
          </w:tcPr>
          <w:p>
            <w:r>
              <w:rPr>
                <w:rFonts w:ascii="Arial" w:hAnsi="Arial"/>
                <w:sz w:val="17"/>
              </w:rPr>
              <w:t>Protected calls are evaluated before execution and unauthorized calls are blocked by default.</w:t>
            </w:r>
          </w:p>
        </w:tc>
        <w:tc>
          <w:tcPr>
            <w:tcW w:type="dxa" w:w="3293"/>
            <w:vAlign w:val="center"/>
            <w:tcMar>
              <w:top w:w="100" w:type="dxa"/>
              <w:start w:w="120" w:type="dxa"/>
              <w:bottom w:w="100" w:type="dxa"/>
              <w:end w:w="120" w:type="dxa"/>
            </w:tcMar>
          </w:tcPr>
          <w:p>
            <w:r>
              <w:rPr>
                <w:rFonts w:ascii="Arial" w:hAnsi="Arial"/>
                <w:sz w:val="17"/>
              </w:rPr>
              <w:t>Integration tests for message, tool-call, and inter-agent paths.</w:t>
            </w:r>
          </w:p>
        </w:tc>
      </w:tr>
      <w:tr>
        <w:tc>
          <w:tcPr>
            <w:tcW w:type="dxa" w:w="3293"/>
            <w:vAlign w:val="center"/>
            <w:tcMar>
              <w:top w:w="100" w:type="dxa"/>
              <w:start w:w="120" w:type="dxa"/>
              <w:bottom w:w="100" w:type="dxa"/>
              <w:end w:w="120" w:type="dxa"/>
            </w:tcMar>
            <w:shd w:fill="F8FAFC"/>
          </w:tcPr>
          <w:p>
            <w:r>
              <w:rPr>
                <w:rFonts w:ascii="Arial" w:hAnsi="Arial"/>
                <w:sz w:val="17"/>
              </w:rPr>
              <w:t>Provable auditability</w:t>
            </w:r>
          </w:p>
        </w:tc>
        <w:tc>
          <w:tcPr>
            <w:tcW w:type="dxa" w:w="3293"/>
            <w:vAlign w:val="center"/>
            <w:tcMar>
              <w:top w:w="100" w:type="dxa"/>
              <w:start w:w="120" w:type="dxa"/>
              <w:bottom w:w="100" w:type="dxa"/>
              <w:end w:w="120" w:type="dxa"/>
            </w:tcMar>
            <w:shd w:fill="F8FAFC"/>
          </w:tcPr>
          <w:p>
            <w:r>
              <w:rPr>
                <w:rFonts w:ascii="Arial" w:hAnsi="Arial"/>
                <w:sz w:val="17"/>
              </w:rPr>
              <w:t>Every protected decision writes an immutable ledger entry with a verifiable hash chain.</w:t>
            </w:r>
          </w:p>
        </w:tc>
        <w:tc>
          <w:tcPr>
            <w:tcW w:type="dxa" w:w="3293"/>
            <w:vAlign w:val="center"/>
            <w:tcMar>
              <w:top w:w="100" w:type="dxa"/>
              <w:start w:w="120" w:type="dxa"/>
              <w:bottom w:w="100" w:type="dxa"/>
              <w:end w:w="120" w:type="dxa"/>
            </w:tcMar>
            <w:shd w:fill="F8FAFC"/>
          </w:tcPr>
          <w:p>
            <w:r>
              <w:rPr>
                <w:rFonts w:ascii="Arial" w:hAnsi="Arial"/>
                <w:sz w:val="17"/>
              </w:rPr>
              <w:t>Tamper test breaks verification at the expected entry.</w:t>
            </w:r>
          </w:p>
        </w:tc>
      </w:tr>
      <w:tr>
        <w:tc>
          <w:tcPr>
            <w:tcW w:type="dxa" w:w="3293"/>
            <w:vAlign w:val="center"/>
            <w:tcMar>
              <w:top w:w="100" w:type="dxa"/>
              <w:start w:w="120" w:type="dxa"/>
              <w:bottom w:w="100" w:type="dxa"/>
              <w:end w:w="120" w:type="dxa"/>
            </w:tcMar>
          </w:tcPr>
          <w:p>
            <w:r>
              <w:rPr>
                <w:rFonts w:ascii="Arial" w:hAnsi="Arial"/>
                <w:sz w:val="17"/>
              </w:rPr>
              <w:t>Practical latency</w:t>
            </w:r>
          </w:p>
        </w:tc>
        <w:tc>
          <w:tcPr>
            <w:tcW w:type="dxa" w:w="3293"/>
            <w:vAlign w:val="center"/>
            <w:tcMar>
              <w:top w:w="100" w:type="dxa"/>
              <w:start w:w="120" w:type="dxa"/>
              <w:bottom w:w="100" w:type="dxa"/>
              <w:end w:w="120" w:type="dxa"/>
            </w:tcMar>
          </w:tcPr>
          <w:p>
            <w:r>
              <w:rPr>
                <w:rFonts w:ascii="Arial" w:hAnsi="Arial"/>
                <w:sz w:val="17"/>
              </w:rPr>
              <w:t>P95 synchronous protection path under 200 ms without LLM calls; deep AI enrichment is async or explicitly requested.</w:t>
            </w:r>
          </w:p>
        </w:tc>
        <w:tc>
          <w:tcPr>
            <w:tcW w:type="dxa" w:w="3293"/>
            <w:vAlign w:val="center"/>
            <w:tcMar>
              <w:top w:w="100" w:type="dxa"/>
              <w:start w:w="120" w:type="dxa"/>
              <w:bottom w:w="100" w:type="dxa"/>
              <w:end w:w="120" w:type="dxa"/>
            </w:tcMar>
          </w:tcPr>
          <w:p>
            <w:r>
              <w:rPr>
                <w:rFonts w:ascii="Arial" w:hAnsi="Arial"/>
                <w:sz w:val="17"/>
              </w:rPr>
              <w:t>Load test on analyze and tool-call endpoints.</w:t>
            </w:r>
          </w:p>
        </w:tc>
      </w:tr>
      <w:tr>
        <w:tc>
          <w:tcPr>
            <w:tcW w:type="dxa" w:w="3293"/>
            <w:vAlign w:val="center"/>
            <w:tcMar>
              <w:top w:w="100" w:type="dxa"/>
              <w:start w:w="120" w:type="dxa"/>
              <w:bottom w:w="100" w:type="dxa"/>
              <w:end w:w="120" w:type="dxa"/>
            </w:tcMar>
            <w:shd w:fill="F8FAFC"/>
          </w:tcPr>
          <w:p>
            <w:r>
              <w:rPr>
                <w:rFonts w:ascii="Arial" w:hAnsi="Arial"/>
                <w:sz w:val="17"/>
              </w:rPr>
              <w:t>Operator visibility</w:t>
            </w:r>
          </w:p>
        </w:tc>
        <w:tc>
          <w:tcPr>
            <w:tcW w:type="dxa" w:w="3293"/>
            <w:vAlign w:val="center"/>
            <w:tcMar>
              <w:top w:w="100" w:type="dxa"/>
              <w:start w:w="120" w:type="dxa"/>
              <w:bottom w:w="100" w:type="dxa"/>
              <w:end w:w="120" w:type="dxa"/>
            </w:tcMar>
            <w:shd w:fill="F8FAFC"/>
          </w:tcPr>
          <w:p>
            <w:r>
              <w:rPr>
                <w:rFonts w:ascii="Arial" w:hAnsi="Arial"/>
                <w:sz w:val="17"/>
              </w:rPr>
              <w:t>Dashboard shows live events, active agents, trust score changes, blocked events, and ledger status.</w:t>
            </w:r>
          </w:p>
        </w:tc>
        <w:tc>
          <w:tcPr>
            <w:tcW w:type="dxa" w:w="3293"/>
            <w:vAlign w:val="center"/>
            <w:tcMar>
              <w:top w:w="100" w:type="dxa"/>
              <w:start w:w="120" w:type="dxa"/>
              <w:bottom w:w="100" w:type="dxa"/>
              <w:end w:w="120" w:type="dxa"/>
            </w:tcMar>
            <w:shd w:fill="F8FAFC"/>
          </w:tcPr>
          <w:p>
            <w:r>
              <w:rPr>
                <w:rFonts w:ascii="Arial" w:hAnsi="Arial"/>
                <w:sz w:val="17"/>
              </w:rPr>
              <w:t>Browser smoke test and WebSocket event replay.</w:t>
            </w:r>
          </w:p>
        </w:tc>
      </w:tr>
      <w:tr>
        <w:tc>
          <w:tcPr>
            <w:tcW w:type="dxa" w:w="3293"/>
            <w:vAlign w:val="center"/>
            <w:tcMar>
              <w:top w:w="100" w:type="dxa"/>
              <w:start w:w="120" w:type="dxa"/>
              <w:bottom w:w="100" w:type="dxa"/>
              <w:end w:w="120" w:type="dxa"/>
            </w:tcMar>
          </w:tcPr>
          <w:p>
            <w:r>
              <w:rPr>
                <w:rFonts w:ascii="Arial" w:hAnsi="Arial"/>
                <w:sz w:val="17"/>
              </w:rPr>
              <w:t>Agent integration</w:t>
            </w:r>
          </w:p>
        </w:tc>
        <w:tc>
          <w:tcPr>
            <w:tcW w:type="dxa" w:w="3293"/>
            <w:vAlign w:val="center"/>
            <w:tcMar>
              <w:top w:w="100" w:type="dxa"/>
              <w:start w:w="120" w:type="dxa"/>
              <w:bottom w:w="100" w:type="dxa"/>
              <w:end w:w="120" w:type="dxa"/>
            </w:tcMar>
          </w:tcPr>
          <w:p>
            <w:r>
              <w:rPr>
                <w:rFonts w:ascii="Arial" w:hAnsi="Arial"/>
                <w:sz w:val="17"/>
              </w:rPr>
              <w:t>Python SDK can spawn an agent, analyze messages, check tool calls, and fetch verdicts using documented contracts.</w:t>
            </w:r>
          </w:p>
        </w:tc>
        <w:tc>
          <w:tcPr>
            <w:tcW w:type="dxa" w:w="3293"/>
            <w:vAlign w:val="center"/>
            <w:tcMar>
              <w:top w:w="100" w:type="dxa"/>
              <w:start w:w="120" w:type="dxa"/>
              <w:bottom w:w="100" w:type="dxa"/>
              <w:end w:w="120" w:type="dxa"/>
            </w:tcMar>
          </w:tcPr>
          <w:p>
            <w:r>
              <w:rPr>
                <w:rFonts w:ascii="Arial" w:hAnsi="Arial"/>
                <w:sz w:val="17"/>
              </w:rPr>
              <w:t>SDK example runs end to end against local and deployed backend.</w:t>
            </w:r>
          </w:p>
        </w:tc>
      </w:tr>
    </w:tbl>
    <w:p/>
    <w:p>
      <w:pPr>
        <w:pStyle w:val="Heading1"/>
      </w:pPr>
      <w:r>
        <w:t>3. Users And Use Cases</w:t>
      </w:r>
    </w:p>
    <w:tbl>
      <w:tblPr>
        <w:tblStyle w:val="TableGrid"/>
        <w:tblW w:type="auto" w:w="0"/>
        <w:jc w:val="left"/>
        <w:tblLook w:firstColumn="1" w:firstRow="1" w:lastColumn="0" w:lastRow="0" w:noHBand="0" w:noVBand="1" w:val="04A0"/>
      </w:tblPr>
      <w:tblGrid>
        <w:gridCol w:w="3293"/>
        <w:gridCol w:w="3293"/>
        <w:gridCol w:w="3293"/>
      </w:tblGrid>
      <w:tr>
        <w:tc>
          <w:tcPr>
            <w:tcW w:type="dxa" w:w="3293"/>
            <w:vAlign w:val="center"/>
            <w:tcMar>
              <w:top w:w="100" w:type="dxa"/>
              <w:start w:w="120" w:type="dxa"/>
              <w:bottom w:w="100" w:type="dxa"/>
              <w:end w:w="120" w:type="dxa"/>
            </w:tcMar>
            <w:shd w:fill="1E3A8A"/>
          </w:tcPr>
          <w:p>
            <w:r>
              <w:rPr>
                <w:rFonts w:ascii="Arial" w:hAnsi="Arial"/>
                <w:b/>
                <w:color w:val="F8FAFC"/>
                <w:sz w:val="17"/>
              </w:rPr>
              <w:t>Persona</w:t>
            </w:r>
          </w:p>
        </w:tc>
        <w:tc>
          <w:tcPr>
            <w:tcW w:type="dxa" w:w="3293"/>
            <w:vAlign w:val="center"/>
            <w:tcMar>
              <w:top w:w="100" w:type="dxa"/>
              <w:start w:w="120" w:type="dxa"/>
              <w:bottom w:w="100" w:type="dxa"/>
              <w:end w:w="120" w:type="dxa"/>
            </w:tcMar>
            <w:shd w:fill="1E3A8A"/>
          </w:tcPr>
          <w:p>
            <w:r>
              <w:rPr>
                <w:rFonts w:ascii="Arial" w:hAnsi="Arial"/>
                <w:b/>
                <w:color w:val="F8FAFC"/>
                <w:sz w:val="17"/>
              </w:rPr>
              <w:t>Need</w:t>
            </w:r>
          </w:p>
        </w:tc>
        <w:tc>
          <w:tcPr>
            <w:tcW w:type="dxa" w:w="3293"/>
            <w:vAlign w:val="center"/>
            <w:tcMar>
              <w:top w:w="100" w:type="dxa"/>
              <w:start w:w="120" w:type="dxa"/>
              <w:bottom w:w="100" w:type="dxa"/>
              <w:end w:w="120" w:type="dxa"/>
            </w:tcMar>
            <w:shd w:fill="1E3A8A"/>
          </w:tcPr>
          <w:p>
            <w:r>
              <w:rPr>
                <w:rFonts w:ascii="Arial" w:hAnsi="Arial"/>
                <w:b/>
                <w:color w:val="F8FAFC"/>
                <w:sz w:val="17"/>
              </w:rPr>
              <w:t>AgentShield Outcome</w:t>
            </w:r>
          </w:p>
        </w:tc>
      </w:tr>
      <w:tr>
        <w:tc>
          <w:tcPr>
            <w:tcW w:type="dxa" w:w="3293"/>
            <w:vAlign w:val="center"/>
            <w:tcMar>
              <w:top w:w="100" w:type="dxa"/>
              <w:start w:w="120" w:type="dxa"/>
              <w:bottom w:w="100" w:type="dxa"/>
              <w:end w:w="120" w:type="dxa"/>
            </w:tcMar>
          </w:tcPr>
          <w:p>
            <w:r>
              <w:rPr>
                <w:rFonts w:ascii="Arial" w:hAnsi="Arial"/>
                <w:sz w:val="17"/>
              </w:rPr>
              <w:t>AI security engineer</w:t>
            </w:r>
          </w:p>
        </w:tc>
        <w:tc>
          <w:tcPr>
            <w:tcW w:type="dxa" w:w="3293"/>
            <w:vAlign w:val="center"/>
            <w:tcMar>
              <w:top w:w="100" w:type="dxa"/>
              <w:start w:w="120" w:type="dxa"/>
              <w:bottom w:w="100" w:type="dxa"/>
              <w:end w:w="120" w:type="dxa"/>
            </w:tcMar>
          </w:tcPr>
          <w:p>
            <w:r>
              <w:rPr>
                <w:rFonts w:ascii="Arial" w:hAnsi="Arial"/>
                <w:sz w:val="17"/>
              </w:rPr>
              <w:t>Catch prompt injection, spoofing, and unsafe tool use before production damage.</w:t>
            </w:r>
          </w:p>
        </w:tc>
        <w:tc>
          <w:tcPr>
            <w:tcW w:type="dxa" w:w="3293"/>
            <w:vAlign w:val="center"/>
            <w:tcMar>
              <w:top w:w="100" w:type="dxa"/>
              <w:start w:w="120" w:type="dxa"/>
              <w:bottom w:w="100" w:type="dxa"/>
              <w:end w:w="120" w:type="dxa"/>
            </w:tcMar>
          </w:tcPr>
          <w:p>
            <w:r>
              <w:rPr>
                <w:rFonts w:ascii="Arial" w:hAnsi="Arial"/>
                <w:sz w:val="17"/>
              </w:rPr>
              <w:t>Drop-in middleware and dashboard with policy, audit, and detection evidence.</w:t>
            </w:r>
          </w:p>
        </w:tc>
      </w:tr>
      <w:tr>
        <w:tc>
          <w:tcPr>
            <w:tcW w:type="dxa" w:w="3293"/>
            <w:vAlign w:val="center"/>
            <w:tcMar>
              <w:top w:w="100" w:type="dxa"/>
              <w:start w:w="120" w:type="dxa"/>
              <w:bottom w:w="100" w:type="dxa"/>
              <w:end w:w="120" w:type="dxa"/>
            </w:tcMar>
            <w:shd w:fill="F8FAFC"/>
          </w:tcPr>
          <w:p>
            <w:r>
              <w:rPr>
                <w:rFonts w:ascii="Arial" w:hAnsi="Arial"/>
                <w:sz w:val="17"/>
              </w:rPr>
              <w:t>AI infrastructure engineer</w:t>
            </w:r>
          </w:p>
        </w:tc>
        <w:tc>
          <w:tcPr>
            <w:tcW w:type="dxa" w:w="3293"/>
            <w:vAlign w:val="center"/>
            <w:tcMar>
              <w:top w:w="100" w:type="dxa"/>
              <w:start w:w="120" w:type="dxa"/>
              <w:bottom w:w="100" w:type="dxa"/>
              <w:end w:w="120" w:type="dxa"/>
            </w:tcMar>
            <w:shd w:fill="F8FAFC"/>
          </w:tcPr>
          <w:p>
            <w:r>
              <w:rPr>
                <w:rFonts w:ascii="Arial" w:hAnsi="Arial"/>
                <w:sz w:val="17"/>
              </w:rPr>
              <w:t>Add protection without rebuilding existing LangChain/OpenAI agent flows.</w:t>
            </w:r>
          </w:p>
        </w:tc>
        <w:tc>
          <w:tcPr>
            <w:tcW w:type="dxa" w:w="3293"/>
            <w:vAlign w:val="center"/>
            <w:tcMar>
              <w:top w:w="100" w:type="dxa"/>
              <w:start w:w="120" w:type="dxa"/>
              <w:bottom w:w="100" w:type="dxa"/>
              <w:end w:w="120" w:type="dxa"/>
            </w:tcMar>
            <w:shd w:fill="F8FAFC"/>
          </w:tcPr>
          <w:p>
            <w:r>
              <w:rPr>
                <w:rFonts w:ascii="Arial" w:hAnsi="Arial"/>
                <w:sz w:val="17"/>
              </w:rPr>
              <w:t>SDK and REST contracts that wrap existing message and tool-call paths.</w:t>
            </w:r>
          </w:p>
        </w:tc>
      </w:tr>
      <w:tr>
        <w:tc>
          <w:tcPr>
            <w:tcW w:type="dxa" w:w="3293"/>
            <w:vAlign w:val="center"/>
            <w:tcMar>
              <w:top w:w="100" w:type="dxa"/>
              <w:start w:w="120" w:type="dxa"/>
              <w:bottom w:w="100" w:type="dxa"/>
              <w:end w:w="120" w:type="dxa"/>
            </w:tcMar>
          </w:tcPr>
          <w:p>
            <w:r>
              <w:rPr>
                <w:rFonts w:ascii="Arial" w:hAnsi="Arial"/>
                <w:sz w:val="17"/>
              </w:rPr>
              <w:t>Security reviewer</w:t>
            </w:r>
          </w:p>
        </w:tc>
        <w:tc>
          <w:tcPr>
            <w:tcW w:type="dxa" w:w="3293"/>
            <w:vAlign w:val="center"/>
            <w:tcMar>
              <w:top w:w="100" w:type="dxa"/>
              <w:start w:w="120" w:type="dxa"/>
              <w:bottom w:w="100" w:type="dxa"/>
              <w:end w:w="120" w:type="dxa"/>
            </w:tcMar>
          </w:tcPr>
          <w:p>
            <w:r>
              <w:rPr>
                <w:rFonts w:ascii="Arial" w:hAnsi="Arial"/>
                <w:sz w:val="17"/>
              </w:rPr>
              <w:t>Verify what an autonomous agent did and why a decision was allowed or blocked.</w:t>
            </w:r>
          </w:p>
        </w:tc>
        <w:tc>
          <w:tcPr>
            <w:tcW w:type="dxa" w:w="3293"/>
            <w:vAlign w:val="center"/>
            <w:tcMar>
              <w:top w:w="100" w:type="dxa"/>
              <w:start w:w="120" w:type="dxa"/>
              <w:bottom w:w="100" w:type="dxa"/>
              <w:end w:w="120" w:type="dxa"/>
            </w:tcMar>
          </w:tcPr>
          <w:p>
            <w:r>
              <w:rPr>
                <w:rFonts w:ascii="Arial" w:hAnsi="Arial"/>
                <w:sz w:val="17"/>
              </w:rPr>
              <w:t>Immutable ledger, evidence fields, verdict details, and verification endpoint.</w:t>
            </w:r>
          </w:p>
        </w:tc>
      </w:tr>
      <w:tr>
        <w:tc>
          <w:tcPr>
            <w:tcW w:type="dxa" w:w="3293"/>
            <w:vAlign w:val="center"/>
            <w:tcMar>
              <w:top w:w="100" w:type="dxa"/>
              <w:start w:w="120" w:type="dxa"/>
              <w:bottom w:w="100" w:type="dxa"/>
              <w:end w:w="120" w:type="dxa"/>
            </w:tcMar>
            <w:shd w:fill="F8FAFC"/>
          </w:tcPr>
          <w:p>
            <w:r>
              <w:rPr>
                <w:rFonts w:ascii="Arial" w:hAnsi="Arial"/>
                <w:sz w:val="17"/>
              </w:rPr>
              <w:t>Product/demo evaluator</w:t>
            </w:r>
          </w:p>
        </w:tc>
        <w:tc>
          <w:tcPr>
            <w:tcW w:type="dxa" w:w="3293"/>
            <w:vAlign w:val="center"/>
            <w:tcMar>
              <w:top w:w="100" w:type="dxa"/>
              <w:start w:w="120" w:type="dxa"/>
              <w:bottom w:w="100" w:type="dxa"/>
              <w:end w:w="120" w:type="dxa"/>
            </w:tcMar>
            <w:shd w:fill="F8FAFC"/>
          </w:tcPr>
          <w:p>
            <w:r>
              <w:rPr>
                <w:rFonts w:ascii="Arial" w:hAnsi="Arial"/>
                <w:sz w:val="17"/>
              </w:rPr>
              <w:t>See a real working system with visible security behavior.</w:t>
            </w:r>
          </w:p>
        </w:tc>
        <w:tc>
          <w:tcPr>
            <w:tcW w:type="dxa" w:w="3293"/>
            <w:vAlign w:val="center"/>
            <w:tcMar>
              <w:top w:w="100" w:type="dxa"/>
              <w:start w:w="120" w:type="dxa"/>
              <w:bottom w:w="100" w:type="dxa"/>
              <w:end w:w="120" w:type="dxa"/>
            </w:tcMar>
            <w:shd w:fill="F8FAFC"/>
          </w:tcPr>
          <w:p>
            <w:r>
              <w:rPr>
                <w:rFonts w:ascii="Arial" w:hAnsi="Arial"/>
                <w:sz w:val="17"/>
              </w:rPr>
              <w:t>Attack simulator, live event feed, and 3D network visualization backed by real APIs.</w:t>
            </w:r>
          </w:p>
        </w:tc>
      </w:tr>
    </w:tbl>
    <w:p/>
    <w:p>
      <w:pPr>
        <w:pStyle w:val="Heading1"/>
      </w:pPr>
      <w:r>
        <w:t>4. Production Scope</w:t>
      </w:r>
    </w:p>
    <w:tbl>
      <w:tblPr>
        <w:tblStyle w:val="TableGrid"/>
        <w:tblW w:type="auto" w:w="0"/>
        <w:jc w:val="left"/>
        <w:tblLook w:firstColumn="1" w:firstRow="1" w:lastColumn="0" w:lastRow="0" w:noHBand="0" w:noVBand="1" w:val="04A0"/>
      </w:tblPr>
      <w:tblGrid>
        <w:gridCol w:w="3293"/>
        <w:gridCol w:w="3293"/>
        <w:gridCol w:w="3293"/>
      </w:tblGrid>
      <w:tr>
        <w:tc>
          <w:tcPr>
            <w:tcW w:type="dxa" w:w="3293"/>
            <w:vAlign w:val="center"/>
            <w:tcMar>
              <w:top w:w="100" w:type="dxa"/>
              <w:start w:w="120" w:type="dxa"/>
              <w:bottom w:w="100" w:type="dxa"/>
              <w:end w:w="120" w:type="dxa"/>
            </w:tcMar>
            <w:shd w:fill="1E3A8A"/>
          </w:tcPr>
          <w:p>
            <w:r>
              <w:rPr>
                <w:rFonts w:ascii="Arial" w:hAnsi="Arial"/>
                <w:b/>
                <w:color w:val="F8FAFC"/>
                <w:sz w:val="17"/>
              </w:rPr>
              <w:t>Priority</w:t>
            </w:r>
          </w:p>
        </w:tc>
        <w:tc>
          <w:tcPr>
            <w:tcW w:type="dxa" w:w="3293"/>
            <w:vAlign w:val="center"/>
            <w:tcMar>
              <w:top w:w="100" w:type="dxa"/>
              <w:start w:w="120" w:type="dxa"/>
              <w:bottom w:w="100" w:type="dxa"/>
              <w:end w:w="120" w:type="dxa"/>
            </w:tcMar>
            <w:shd w:fill="1E3A8A"/>
          </w:tcPr>
          <w:p>
            <w:r>
              <w:rPr>
                <w:rFonts w:ascii="Arial" w:hAnsi="Arial"/>
                <w:b/>
                <w:color w:val="F8FAFC"/>
                <w:sz w:val="17"/>
              </w:rPr>
              <w:t>Included Capabilities</w:t>
            </w:r>
          </w:p>
        </w:tc>
        <w:tc>
          <w:tcPr>
            <w:tcW w:type="dxa" w:w="3293"/>
            <w:vAlign w:val="center"/>
            <w:tcMar>
              <w:top w:w="100" w:type="dxa"/>
              <w:start w:w="120" w:type="dxa"/>
              <w:bottom w:w="100" w:type="dxa"/>
              <w:end w:w="120" w:type="dxa"/>
            </w:tcMar>
            <w:shd w:fill="1E3A8A"/>
          </w:tcPr>
          <w:p>
            <w:r>
              <w:rPr>
                <w:rFonts w:ascii="Arial" w:hAnsi="Arial"/>
                <w:b/>
                <w:color w:val="F8FAFC"/>
                <w:sz w:val="17"/>
              </w:rPr>
              <w:t>Deferred Capabilities</w:t>
            </w:r>
          </w:p>
        </w:tc>
      </w:tr>
      <w:tr>
        <w:tc>
          <w:tcPr>
            <w:tcW w:type="dxa" w:w="3293"/>
            <w:vAlign w:val="center"/>
            <w:tcMar>
              <w:top w:w="100" w:type="dxa"/>
              <w:start w:w="120" w:type="dxa"/>
              <w:bottom w:w="100" w:type="dxa"/>
              <w:end w:w="120" w:type="dxa"/>
            </w:tcMar>
          </w:tcPr>
          <w:p>
            <w:r>
              <w:rPr>
                <w:rFonts w:ascii="Arial" w:hAnsi="Arial"/>
                <w:sz w:val="17"/>
              </w:rPr>
              <w:t>P0 Core</w:t>
            </w:r>
          </w:p>
        </w:tc>
        <w:tc>
          <w:tcPr>
            <w:tcW w:type="dxa" w:w="3293"/>
            <w:vAlign w:val="center"/>
            <w:tcMar>
              <w:top w:w="100" w:type="dxa"/>
              <w:start w:w="120" w:type="dxa"/>
              <w:bottom w:w="100" w:type="dxa"/>
              <w:end w:w="120" w:type="dxa"/>
            </w:tcMar>
          </w:tcPr>
          <w:p>
            <w:r>
              <w:rPr>
                <w:rFonts w:ascii="Arial" w:hAnsi="Arial"/>
                <w:sz w:val="17"/>
              </w:rPr>
              <w:t>API key auth, RS256 agent JWT, deterministic injection checks, permission enforcement, trust score updates, ledger writes, ledger verification, Python SDK basics.</w:t>
            </w:r>
          </w:p>
        </w:tc>
        <w:tc>
          <w:tcPr>
            <w:tcW w:type="dxa" w:w="3293"/>
            <w:vAlign w:val="center"/>
            <w:tcMar>
              <w:top w:w="100" w:type="dxa"/>
              <w:start w:w="120" w:type="dxa"/>
              <w:bottom w:w="100" w:type="dxa"/>
              <w:end w:w="120" w:type="dxa"/>
            </w:tcMar>
          </w:tcPr>
          <w:p>
            <w:r>
              <w:rPr>
                <w:rFonts w:ascii="Arial" w:hAnsi="Arial"/>
                <w:sz w:val="17"/>
              </w:rPr>
              <w:t>Billing, SSO, tenant admin UI, long-term threat intelligence marketplace.</w:t>
            </w:r>
          </w:p>
        </w:tc>
      </w:tr>
      <w:tr>
        <w:tc>
          <w:tcPr>
            <w:tcW w:type="dxa" w:w="3293"/>
            <w:vAlign w:val="center"/>
            <w:tcMar>
              <w:top w:w="100" w:type="dxa"/>
              <w:start w:w="120" w:type="dxa"/>
              <w:bottom w:w="100" w:type="dxa"/>
              <w:end w:w="120" w:type="dxa"/>
            </w:tcMar>
            <w:shd w:fill="F8FAFC"/>
          </w:tcPr>
          <w:p>
            <w:r>
              <w:rPr>
                <w:rFonts w:ascii="Arial" w:hAnsi="Arial"/>
                <w:sz w:val="17"/>
              </w:rPr>
              <w:t>P1 Operator Product</w:t>
            </w:r>
          </w:p>
        </w:tc>
        <w:tc>
          <w:tcPr>
            <w:tcW w:type="dxa" w:w="3293"/>
            <w:vAlign w:val="center"/>
            <w:tcMar>
              <w:top w:w="100" w:type="dxa"/>
              <w:start w:w="120" w:type="dxa"/>
              <w:bottom w:w="100" w:type="dxa"/>
              <w:end w:w="120" w:type="dxa"/>
            </w:tcMar>
            <w:shd w:fill="F8FAFC"/>
          </w:tcPr>
          <w:p>
            <w:r>
              <w:rPr>
                <w:rFonts w:ascii="Arial" w:hAnsi="Arial"/>
                <w:sz w:val="17"/>
              </w:rPr>
              <w:t>Dashboard, ledger browser, attack simulator, WebSocket stream, agent registry, deployment runbook, demo agent.</w:t>
            </w:r>
          </w:p>
        </w:tc>
        <w:tc>
          <w:tcPr>
            <w:tcW w:type="dxa" w:w="3293"/>
            <w:vAlign w:val="center"/>
            <w:tcMar>
              <w:top w:w="100" w:type="dxa"/>
              <w:start w:w="120" w:type="dxa"/>
              <w:bottom w:w="100" w:type="dxa"/>
              <w:end w:w="120" w:type="dxa"/>
            </w:tcMar>
            <w:shd w:fill="F8FAFC"/>
          </w:tcPr>
          <w:p>
            <w:r>
              <w:rPr>
                <w:rFonts w:ascii="Arial" w:hAnsi="Arial"/>
                <w:sz w:val="17"/>
              </w:rPr>
              <w:t>Full visual no-code policy builder, advanced analytics, mobile-native app.</w:t>
            </w:r>
          </w:p>
        </w:tc>
      </w:tr>
      <w:tr>
        <w:tc>
          <w:tcPr>
            <w:tcW w:type="dxa" w:w="3293"/>
            <w:vAlign w:val="center"/>
            <w:tcMar>
              <w:top w:w="100" w:type="dxa"/>
              <w:start w:w="120" w:type="dxa"/>
              <w:bottom w:w="100" w:type="dxa"/>
              <w:end w:w="120" w:type="dxa"/>
            </w:tcMar>
          </w:tcPr>
          <w:p>
            <w:r>
              <w:rPr>
                <w:rFonts w:ascii="Arial" w:hAnsi="Arial"/>
                <w:sz w:val="17"/>
              </w:rPr>
              <w:t>P2 Advanced Intelligence</w:t>
            </w:r>
          </w:p>
        </w:tc>
        <w:tc>
          <w:tcPr>
            <w:tcW w:type="dxa" w:w="3293"/>
            <w:vAlign w:val="center"/>
            <w:tcMar>
              <w:top w:w="100" w:type="dxa"/>
              <w:start w:w="120" w:type="dxa"/>
              <w:bottom w:w="100" w:type="dxa"/>
              <w:end w:w="120" w:type="dxa"/>
            </w:tcMar>
          </w:tcPr>
          <w:p>
            <w:r>
              <w:rPr>
                <w:rFonts w:ascii="Arial" w:hAnsi="Arial"/>
                <w:sz w:val="17"/>
              </w:rPr>
              <w:t>Async LLM enrichment, ReAct trace for demos, vector-backed threat context, adaptive risk recommendations.</w:t>
            </w:r>
          </w:p>
        </w:tc>
        <w:tc>
          <w:tcPr>
            <w:tcW w:type="dxa" w:w="3293"/>
            <w:vAlign w:val="center"/>
            <w:tcMar>
              <w:top w:w="100" w:type="dxa"/>
              <w:start w:w="120" w:type="dxa"/>
              <w:bottom w:w="100" w:type="dxa"/>
              <w:end w:w="120" w:type="dxa"/>
            </w:tcMar>
          </w:tcPr>
          <w:p>
            <w:r>
              <w:rPr>
                <w:rFonts w:ascii="Arial" w:hAnsi="Arial"/>
                <w:sz w:val="17"/>
              </w:rPr>
              <w:t>Autonomous remediation without human approval, production sandbox execution isolation.</w:t>
            </w:r>
          </w:p>
        </w:tc>
      </w:tr>
    </w:tbl>
    <w:p/>
    <w:p>
      <w:r>
        <w:t>The production v1 build must not depend on an LLM call to block obvious attacks, invalid identity, or unauthorized tools. LLM and ReAct behavior is useful for explanation, enrichment, and demo traces, but not for the critical enforcement path.</w:t>
      </w:r>
    </w:p>
    <w:p>
      <w:pPr>
        <w:pStyle w:val="Heading1"/>
      </w:pPr>
      <w:r>
        <w:t>5. Resolved Architecture</w:t>
      </w:r>
    </w:p>
    <w:tbl>
      <w:tblPr>
        <w:tblStyle w:val="TableGrid"/>
        <w:tblW w:type="auto" w:w="0"/>
        <w:jc w:val="left"/>
        <w:tblLook w:firstColumn="1" w:firstRow="1" w:lastColumn="0" w:lastRow="0" w:noHBand="0" w:noVBand="1" w:val="04A0"/>
      </w:tblPr>
      <w:tblGrid>
        <w:gridCol w:w="3293"/>
        <w:gridCol w:w="3293"/>
        <w:gridCol w:w="3293"/>
      </w:tblGrid>
      <w:tr>
        <w:tc>
          <w:tcPr>
            <w:tcW w:type="dxa" w:w="3293"/>
            <w:vAlign w:val="center"/>
            <w:tcMar>
              <w:top w:w="100" w:type="dxa"/>
              <w:start w:w="120" w:type="dxa"/>
              <w:bottom w:w="100" w:type="dxa"/>
              <w:end w:w="120" w:type="dxa"/>
            </w:tcMar>
            <w:shd w:fill="1E3A8A"/>
          </w:tcPr>
          <w:p>
            <w:r>
              <w:rPr>
                <w:rFonts w:ascii="Arial" w:hAnsi="Arial"/>
                <w:b/>
                <w:color w:val="F8FAFC"/>
                <w:sz w:val="17"/>
              </w:rPr>
              <w:t>Layer</w:t>
            </w:r>
          </w:p>
        </w:tc>
        <w:tc>
          <w:tcPr>
            <w:tcW w:type="dxa" w:w="3293"/>
            <w:vAlign w:val="center"/>
            <w:tcMar>
              <w:top w:w="100" w:type="dxa"/>
              <w:start w:w="120" w:type="dxa"/>
              <w:bottom w:w="100" w:type="dxa"/>
              <w:end w:w="120" w:type="dxa"/>
            </w:tcMar>
            <w:shd w:fill="1E3A8A"/>
          </w:tcPr>
          <w:p>
            <w:r>
              <w:rPr>
                <w:rFonts w:ascii="Arial" w:hAnsi="Arial"/>
                <w:b/>
                <w:color w:val="F8FAFC"/>
                <w:sz w:val="17"/>
              </w:rPr>
              <w:t>Decision</w:t>
            </w:r>
          </w:p>
        </w:tc>
        <w:tc>
          <w:tcPr>
            <w:tcW w:type="dxa" w:w="3293"/>
            <w:vAlign w:val="center"/>
            <w:tcMar>
              <w:top w:w="100" w:type="dxa"/>
              <w:start w:w="120" w:type="dxa"/>
              <w:bottom w:w="100" w:type="dxa"/>
              <w:end w:w="120" w:type="dxa"/>
            </w:tcMar>
            <w:shd w:fill="1E3A8A"/>
          </w:tcPr>
          <w:p>
            <w:r>
              <w:rPr>
                <w:rFonts w:ascii="Arial" w:hAnsi="Arial"/>
                <w:b/>
                <w:color w:val="F8FAFC"/>
                <w:sz w:val="17"/>
              </w:rPr>
              <w:t>Reason</w:t>
            </w:r>
          </w:p>
        </w:tc>
      </w:tr>
      <w:tr>
        <w:tc>
          <w:tcPr>
            <w:tcW w:type="dxa" w:w="3293"/>
            <w:vAlign w:val="center"/>
            <w:tcMar>
              <w:top w:w="100" w:type="dxa"/>
              <w:start w:w="120" w:type="dxa"/>
              <w:bottom w:w="100" w:type="dxa"/>
              <w:end w:w="120" w:type="dxa"/>
            </w:tcMar>
          </w:tcPr>
          <w:p>
            <w:r>
              <w:rPr>
                <w:rFonts w:ascii="Arial" w:hAnsi="Arial"/>
                <w:sz w:val="17"/>
              </w:rPr>
              <w:t>Client and SDK</w:t>
            </w:r>
          </w:p>
        </w:tc>
        <w:tc>
          <w:tcPr>
            <w:tcW w:type="dxa" w:w="3293"/>
            <w:vAlign w:val="center"/>
            <w:tcMar>
              <w:top w:w="100" w:type="dxa"/>
              <w:start w:w="120" w:type="dxa"/>
              <w:bottom w:w="100" w:type="dxa"/>
              <w:end w:w="120" w:type="dxa"/>
            </w:tcMar>
          </w:tcPr>
          <w:p>
            <w:r>
              <w:rPr>
                <w:rFonts w:ascii="Arial" w:hAnsi="Arial"/>
                <w:sz w:val="17"/>
              </w:rPr>
              <w:t>Python SDK and direct REST clients authenticate with X-AgentShield-API-Key.</w:t>
            </w:r>
          </w:p>
        </w:tc>
        <w:tc>
          <w:tcPr>
            <w:tcW w:type="dxa" w:w="3293"/>
            <w:vAlign w:val="center"/>
            <w:tcMar>
              <w:top w:w="100" w:type="dxa"/>
              <w:start w:w="120" w:type="dxa"/>
              <w:bottom w:w="100" w:type="dxa"/>
              <w:end w:w="120" w:type="dxa"/>
            </w:tcMar>
          </w:tcPr>
          <w:p>
            <w:r>
              <w:rPr>
                <w:rFonts w:ascii="Arial" w:hAnsi="Arial"/>
                <w:sz w:val="17"/>
              </w:rPr>
              <w:t>Separates customer/client authorization from agent identity.</w:t>
            </w:r>
          </w:p>
        </w:tc>
      </w:tr>
      <w:tr>
        <w:tc>
          <w:tcPr>
            <w:tcW w:type="dxa" w:w="3293"/>
            <w:vAlign w:val="center"/>
            <w:tcMar>
              <w:top w:w="100" w:type="dxa"/>
              <w:start w:w="120" w:type="dxa"/>
              <w:bottom w:w="100" w:type="dxa"/>
              <w:end w:w="120" w:type="dxa"/>
            </w:tcMar>
            <w:shd w:fill="F8FAFC"/>
          </w:tcPr>
          <w:p>
            <w:r>
              <w:rPr>
                <w:rFonts w:ascii="Arial" w:hAnsi="Arial"/>
                <w:sz w:val="17"/>
              </w:rPr>
              <w:t>Agent identity</w:t>
            </w:r>
          </w:p>
        </w:tc>
        <w:tc>
          <w:tcPr>
            <w:tcW w:type="dxa" w:w="3293"/>
            <w:vAlign w:val="center"/>
            <w:tcMar>
              <w:top w:w="100" w:type="dxa"/>
              <w:start w:w="120" w:type="dxa"/>
              <w:bottom w:w="100" w:type="dxa"/>
              <w:end w:w="120" w:type="dxa"/>
            </w:tcMar>
            <w:shd w:fill="F8FAFC"/>
          </w:tcPr>
          <w:p>
            <w:r>
              <w:rPr>
                <w:rFonts w:ascii="Arial" w:hAnsi="Arial"/>
                <w:sz w:val="17"/>
              </w:rPr>
              <w:t>Each spawned agent receives a signed RS256 JWT with agent_id, tenant_id, scopes, iat, exp, jti, and key id.</w:t>
            </w:r>
          </w:p>
        </w:tc>
        <w:tc>
          <w:tcPr>
            <w:tcW w:type="dxa" w:w="3293"/>
            <w:vAlign w:val="center"/>
            <w:tcMar>
              <w:top w:w="100" w:type="dxa"/>
              <w:start w:w="120" w:type="dxa"/>
              <w:bottom w:w="100" w:type="dxa"/>
              <w:end w:w="120" w:type="dxa"/>
            </w:tcMar>
            <w:shd w:fill="F8FAFC"/>
          </w:tcPr>
          <w:p>
            <w:r>
              <w:rPr>
                <w:rFonts w:ascii="Arial" w:hAnsi="Arial"/>
                <w:sz w:val="17"/>
              </w:rPr>
              <w:t>Prevents spoofed inter-agent and tool-call requests.</w:t>
            </w:r>
          </w:p>
        </w:tc>
      </w:tr>
      <w:tr>
        <w:tc>
          <w:tcPr>
            <w:tcW w:type="dxa" w:w="3293"/>
            <w:vAlign w:val="center"/>
            <w:tcMar>
              <w:top w:w="100" w:type="dxa"/>
              <w:start w:w="120" w:type="dxa"/>
              <w:bottom w:w="100" w:type="dxa"/>
              <w:end w:w="120" w:type="dxa"/>
            </w:tcMar>
          </w:tcPr>
          <w:p>
            <w:r>
              <w:rPr>
                <w:rFonts w:ascii="Arial" w:hAnsi="Arial"/>
                <w:sz w:val="17"/>
              </w:rPr>
              <w:t>Synchronous guard</w:t>
            </w:r>
          </w:p>
        </w:tc>
        <w:tc>
          <w:tcPr>
            <w:tcW w:type="dxa" w:w="3293"/>
            <w:vAlign w:val="center"/>
            <w:tcMar>
              <w:top w:w="100" w:type="dxa"/>
              <w:start w:w="120" w:type="dxa"/>
              <w:bottom w:w="100" w:type="dxa"/>
              <w:end w:w="120" w:type="dxa"/>
            </w:tcMar>
          </w:tcPr>
          <w:p>
            <w:r>
              <w:rPr>
                <w:rFonts w:ascii="Arial" w:hAnsi="Arial"/>
                <w:sz w:val="17"/>
              </w:rPr>
              <w:t>Fast policy engine verifies API key, JWT, permission manifest, pattern classifier, trust state, and ledger write.</w:t>
            </w:r>
          </w:p>
        </w:tc>
        <w:tc>
          <w:tcPr>
            <w:tcW w:type="dxa" w:w="3293"/>
            <w:vAlign w:val="center"/>
            <w:tcMar>
              <w:top w:w="100" w:type="dxa"/>
              <w:start w:w="120" w:type="dxa"/>
              <w:bottom w:w="100" w:type="dxa"/>
              <w:end w:w="120" w:type="dxa"/>
            </w:tcMar>
          </w:tcPr>
          <w:p>
            <w:r>
              <w:rPr>
                <w:rFonts w:ascii="Arial" w:hAnsi="Arial"/>
                <w:sz w:val="17"/>
              </w:rPr>
              <w:t>Meets latency target and blocks deterministic risks.</w:t>
            </w:r>
          </w:p>
        </w:tc>
      </w:tr>
      <w:tr>
        <w:tc>
          <w:tcPr>
            <w:tcW w:type="dxa" w:w="3293"/>
            <w:vAlign w:val="center"/>
            <w:tcMar>
              <w:top w:w="100" w:type="dxa"/>
              <w:start w:w="120" w:type="dxa"/>
              <w:bottom w:w="100" w:type="dxa"/>
              <w:end w:w="120" w:type="dxa"/>
            </w:tcMar>
            <w:shd w:fill="F8FAFC"/>
          </w:tcPr>
          <w:p>
            <w:r>
              <w:rPr>
                <w:rFonts w:ascii="Arial" w:hAnsi="Arial"/>
                <w:sz w:val="17"/>
              </w:rPr>
              <w:t>Async enrichment</w:t>
            </w:r>
          </w:p>
        </w:tc>
        <w:tc>
          <w:tcPr>
            <w:tcW w:type="dxa" w:w="3293"/>
            <w:vAlign w:val="center"/>
            <w:tcMar>
              <w:top w:w="100" w:type="dxa"/>
              <w:start w:w="120" w:type="dxa"/>
              <w:bottom w:w="100" w:type="dxa"/>
              <w:end w:w="120" w:type="dxa"/>
            </w:tcMar>
            <w:shd w:fill="F8FAFC"/>
          </w:tcPr>
          <w:p>
            <w:r>
              <w:rPr>
                <w:rFonts w:ascii="Arial" w:hAnsi="Arial"/>
                <w:sz w:val="17"/>
              </w:rPr>
              <w:t>Queue worker runs optional LLM classification, threat enrichment, vector search, and narrative explanation.</w:t>
            </w:r>
          </w:p>
        </w:tc>
        <w:tc>
          <w:tcPr>
            <w:tcW w:type="dxa" w:w="3293"/>
            <w:vAlign w:val="center"/>
            <w:tcMar>
              <w:top w:w="100" w:type="dxa"/>
              <w:start w:w="120" w:type="dxa"/>
              <w:bottom w:w="100" w:type="dxa"/>
              <w:end w:w="120" w:type="dxa"/>
            </w:tcMar>
            <w:shd w:fill="F8FAFC"/>
          </w:tcPr>
          <w:p>
            <w:r>
              <w:rPr>
                <w:rFonts w:ascii="Arial" w:hAnsi="Arial"/>
                <w:sz w:val="17"/>
              </w:rPr>
              <w:t>Preserves UX without slowing protected execution.</w:t>
            </w:r>
          </w:p>
        </w:tc>
      </w:tr>
      <w:tr>
        <w:tc>
          <w:tcPr>
            <w:tcW w:type="dxa" w:w="3293"/>
            <w:vAlign w:val="center"/>
            <w:tcMar>
              <w:top w:w="100" w:type="dxa"/>
              <w:start w:w="120" w:type="dxa"/>
              <w:bottom w:w="100" w:type="dxa"/>
              <w:end w:w="120" w:type="dxa"/>
            </w:tcMar>
          </w:tcPr>
          <w:p>
            <w:r>
              <w:rPr>
                <w:rFonts w:ascii="Arial" w:hAnsi="Arial"/>
                <w:sz w:val="17"/>
              </w:rPr>
              <w:t>Data</w:t>
            </w:r>
          </w:p>
        </w:tc>
        <w:tc>
          <w:tcPr>
            <w:tcW w:type="dxa" w:w="3293"/>
            <w:vAlign w:val="center"/>
            <w:tcMar>
              <w:top w:w="100" w:type="dxa"/>
              <w:start w:w="120" w:type="dxa"/>
              <w:bottom w:w="100" w:type="dxa"/>
              <w:end w:w="120" w:type="dxa"/>
            </w:tcMar>
          </w:tcPr>
          <w:p>
            <w:r>
              <w:rPr>
                <w:rFonts w:ascii="Arial" w:hAnsi="Arial"/>
                <w:sz w:val="17"/>
              </w:rPr>
              <w:t>PostgreSQL stores agents, API keys, permission manifests, audit ledger, threats, trust history, revoked tokens, and event outbox.</w:t>
            </w:r>
          </w:p>
        </w:tc>
        <w:tc>
          <w:tcPr>
            <w:tcW w:type="dxa" w:w="3293"/>
            <w:vAlign w:val="center"/>
            <w:tcMar>
              <w:top w:w="100" w:type="dxa"/>
              <w:start w:w="120" w:type="dxa"/>
              <w:bottom w:w="100" w:type="dxa"/>
              <w:end w:w="120" w:type="dxa"/>
            </w:tcMar>
          </w:tcPr>
          <w:p>
            <w:r>
              <w:rPr>
                <w:rFonts w:ascii="Arial" w:hAnsi="Arial"/>
                <w:sz w:val="17"/>
              </w:rPr>
              <w:t>Keeps the production v1 stack deployable and inspectable.</w:t>
            </w:r>
          </w:p>
        </w:tc>
      </w:tr>
      <w:tr>
        <w:tc>
          <w:tcPr>
            <w:tcW w:type="dxa" w:w="3293"/>
            <w:vAlign w:val="center"/>
            <w:tcMar>
              <w:top w:w="100" w:type="dxa"/>
              <w:start w:w="120" w:type="dxa"/>
              <w:bottom w:w="100" w:type="dxa"/>
              <w:end w:w="120" w:type="dxa"/>
            </w:tcMar>
            <w:shd w:fill="F8FAFC"/>
          </w:tcPr>
          <w:p>
            <w:r>
              <w:rPr>
                <w:rFonts w:ascii="Arial" w:hAnsi="Arial"/>
                <w:sz w:val="17"/>
              </w:rPr>
              <w:t>Frontend</w:t>
            </w:r>
          </w:p>
        </w:tc>
        <w:tc>
          <w:tcPr>
            <w:tcW w:type="dxa" w:w="3293"/>
            <w:vAlign w:val="center"/>
            <w:tcMar>
              <w:top w:w="100" w:type="dxa"/>
              <w:start w:w="120" w:type="dxa"/>
              <w:bottom w:w="100" w:type="dxa"/>
              <w:end w:w="120" w:type="dxa"/>
            </w:tcMar>
            <w:shd w:fill="F8FAFC"/>
          </w:tcPr>
          <w:p>
            <w:r>
              <w:rPr>
                <w:rFonts w:ascii="Arial" w:hAnsi="Arial"/>
                <w:sz w:val="17"/>
              </w:rPr>
              <w:t>Next.js dashboard consumes REST and WebSocket APIs; 3D network reads stable agent/event payloads.</w:t>
            </w:r>
          </w:p>
        </w:tc>
        <w:tc>
          <w:tcPr>
            <w:tcW w:type="dxa" w:w="3293"/>
            <w:vAlign w:val="center"/>
            <w:tcMar>
              <w:top w:w="100" w:type="dxa"/>
              <w:start w:w="120" w:type="dxa"/>
              <w:bottom w:w="100" w:type="dxa"/>
              <w:end w:w="120" w:type="dxa"/>
            </w:tcMar>
            <w:shd w:fill="F8FAFC"/>
          </w:tcPr>
          <w:p>
            <w:r>
              <w:rPr>
                <w:rFonts w:ascii="Arial" w:hAnsi="Arial"/>
                <w:sz w:val="17"/>
              </w:rPr>
              <w:t>Prevents frontend from relying on mocked visual-only state.</w:t>
            </w:r>
          </w:p>
        </w:tc>
      </w:tr>
    </w:tbl>
    <w:p/>
    <w:p>
      <w:pPr>
        <w:pStyle w:val="Heading1"/>
      </w:pPr>
      <w:r>
        <w:t>6. Core Runtime Flow</w:t>
      </w:r>
    </w:p>
    <w:p>
      <w:pPr>
        <w:pStyle w:val="ListNumber"/>
      </w:pPr>
      <w:r>
        <w:t>Client sends a protected request with X-AgentShield-API-Key and, when acting as an agent, an RS256 agent JWT.</w:t>
      </w:r>
    </w:p>
    <w:p>
      <w:pPr>
        <w:pStyle w:val="ListNumber"/>
      </w:pPr>
      <w:r>
        <w:t>Auth middleware validates API key status, tenant scope, rate limit bucket, and request body size.</w:t>
      </w:r>
    </w:p>
    <w:p>
      <w:pPr>
        <w:pStyle w:val="ListNumber"/>
      </w:pPr>
      <w:r>
        <w:t>Identity verifier validates JWT signature, exp, issuer, audience, jti revocation, tenant match, and agent status.</w:t>
      </w:r>
    </w:p>
    <w:p>
      <w:pPr>
        <w:pStyle w:val="ListNumber"/>
      </w:pPr>
      <w:r>
        <w:t>Policy engine evaluates message or tool-call permissions using deny-by-default manifests.</w:t>
      </w:r>
    </w:p>
    <w:p>
      <w:pPr>
        <w:pStyle w:val="ListNumber"/>
      </w:pPr>
      <w:r>
        <w:t>Injection detector runs deterministic pattern checks and optionally flags the event for async LLM enrichment.</w:t>
      </w:r>
    </w:p>
    <w:p>
      <w:pPr>
        <w:pStyle w:val="ListNumber"/>
      </w:pPr>
      <w:r>
        <w:t>Trust engine computes the delta and stores current score plus a trust history row in the same transaction.</w:t>
      </w:r>
    </w:p>
    <w:p>
      <w:pPr>
        <w:pStyle w:val="ListNumber"/>
      </w:pPr>
      <w:r>
        <w:t>Ledger writer appends a hash-chained audit row using a locked previous-head read and immutable DB role.</w:t>
      </w:r>
    </w:p>
    <w:p>
      <w:pPr>
        <w:pStyle w:val="ListNumber"/>
      </w:pPr>
      <w:r>
        <w:t>Event outbox emits a WebSocket event after commit; dashboard updates live counters and feeds.</w:t>
      </w:r>
    </w:p>
    <w:p>
      <w:pPr>
        <w:pStyle w:val="Heading1"/>
      </w:pPr>
      <w:r>
        <w:t>7. Frontend And UX Plan</w:t>
      </w:r>
    </w:p>
    <w:p>
      <w:r>
        <w:t>The production dashboard is the first product surface. The landing page is secondary and may reuse dashboard metrics, but the system should open directly into operational value: active agents, blocked threats, trust changes, and ledger health.</w:t>
      </w:r>
    </w:p>
    <w:tbl>
      <w:tblPr>
        <w:tblStyle w:val="TableGrid"/>
        <w:tblW w:type="auto" w:w="0"/>
        <w:jc w:val="left"/>
        <w:tblLook w:firstColumn="1" w:firstRow="1" w:lastColumn="0" w:lastRow="0" w:noHBand="0" w:noVBand="1" w:val="04A0"/>
      </w:tblPr>
      <w:tblGrid>
        <w:gridCol w:w="3293"/>
        <w:gridCol w:w="3293"/>
        <w:gridCol w:w="3293"/>
      </w:tblGrid>
      <w:tr>
        <w:tc>
          <w:tcPr>
            <w:tcW w:type="dxa" w:w="3293"/>
            <w:vAlign w:val="center"/>
            <w:tcMar>
              <w:top w:w="100" w:type="dxa"/>
              <w:start w:w="120" w:type="dxa"/>
              <w:bottom w:w="100" w:type="dxa"/>
              <w:end w:w="120" w:type="dxa"/>
            </w:tcMar>
            <w:shd w:fill="1E3A8A"/>
          </w:tcPr>
          <w:p>
            <w:r>
              <w:rPr>
                <w:rFonts w:ascii="Arial" w:hAnsi="Arial"/>
                <w:b/>
                <w:color w:val="F8FAFC"/>
                <w:sz w:val="17"/>
              </w:rPr>
              <w:t>Route</w:t>
            </w:r>
          </w:p>
        </w:tc>
        <w:tc>
          <w:tcPr>
            <w:tcW w:type="dxa" w:w="3293"/>
            <w:vAlign w:val="center"/>
            <w:tcMar>
              <w:top w:w="100" w:type="dxa"/>
              <w:start w:w="120" w:type="dxa"/>
              <w:bottom w:w="100" w:type="dxa"/>
              <w:end w:w="120" w:type="dxa"/>
            </w:tcMar>
            <w:shd w:fill="1E3A8A"/>
          </w:tcPr>
          <w:p>
            <w:r>
              <w:rPr>
                <w:rFonts w:ascii="Arial" w:hAnsi="Arial"/>
                <w:b/>
                <w:color w:val="F8FAFC"/>
                <w:sz w:val="17"/>
              </w:rPr>
              <w:t>Purpose</w:t>
            </w:r>
          </w:p>
        </w:tc>
        <w:tc>
          <w:tcPr>
            <w:tcW w:type="dxa" w:w="3293"/>
            <w:vAlign w:val="center"/>
            <w:tcMar>
              <w:top w:w="100" w:type="dxa"/>
              <w:start w:w="120" w:type="dxa"/>
              <w:bottom w:w="100" w:type="dxa"/>
              <w:end w:w="120" w:type="dxa"/>
            </w:tcMar>
            <w:shd w:fill="1E3A8A"/>
          </w:tcPr>
          <w:p>
            <w:r>
              <w:rPr>
                <w:rFonts w:ascii="Arial" w:hAnsi="Arial"/>
                <w:b/>
                <w:color w:val="F8FAFC"/>
                <w:sz w:val="17"/>
              </w:rPr>
              <w:t>Must Show Real Data</w:t>
            </w:r>
          </w:p>
        </w:tc>
      </w:tr>
      <w:tr>
        <w:tc>
          <w:tcPr>
            <w:tcW w:type="dxa" w:w="3293"/>
            <w:vAlign w:val="center"/>
            <w:tcMar>
              <w:top w:w="100" w:type="dxa"/>
              <w:start w:w="120" w:type="dxa"/>
              <w:bottom w:w="100" w:type="dxa"/>
              <w:end w:w="120" w:type="dxa"/>
            </w:tcMar>
          </w:tcPr>
          <w:p>
            <w:r>
              <w:rPr>
                <w:rFonts w:ascii="Arial" w:hAnsi="Arial"/>
                <w:sz w:val="17"/>
              </w:rPr>
              <w:t>/dashboard</w:t>
            </w:r>
          </w:p>
        </w:tc>
        <w:tc>
          <w:tcPr>
            <w:tcW w:type="dxa" w:w="3293"/>
            <w:vAlign w:val="center"/>
            <w:tcMar>
              <w:top w:w="100" w:type="dxa"/>
              <w:start w:w="120" w:type="dxa"/>
              <w:bottom w:w="100" w:type="dxa"/>
              <w:end w:w="120" w:type="dxa"/>
            </w:tcMar>
          </w:tcPr>
          <w:p>
            <w:r>
              <w:rPr>
                <w:rFonts w:ascii="Arial" w:hAnsi="Arial"/>
                <w:sz w:val="17"/>
              </w:rPr>
              <w:t>Primary console with 3D network, live feed, metrics strip, and agent side panel.</w:t>
            </w:r>
          </w:p>
        </w:tc>
        <w:tc>
          <w:tcPr>
            <w:tcW w:type="dxa" w:w="3293"/>
            <w:vAlign w:val="center"/>
            <w:tcMar>
              <w:top w:w="100" w:type="dxa"/>
              <w:start w:w="120" w:type="dxa"/>
              <w:bottom w:w="100" w:type="dxa"/>
              <w:end w:w="120" w:type="dxa"/>
            </w:tcMar>
          </w:tcPr>
          <w:p>
            <w:r>
              <w:rPr>
                <w:rFonts w:ascii="Arial" w:hAnsi="Arial"/>
                <w:sz w:val="17"/>
              </w:rPr>
              <w:t>Agents, events, trust scores, WebSocket status.</w:t>
            </w:r>
          </w:p>
        </w:tc>
      </w:tr>
      <w:tr>
        <w:tc>
          <w:tcPr>
            <w:tcW w:type="dxa" w:w="3293"/>
            <w:vAlign w:val="center"/>
            <w:tcMar>
              <w:top w:w="100" w:type="dxa"/>
              <w:start w:w="120" w:type="dxa"/>
              <w:bottom w:w="100" w:type="dxa"/>
              <w:end w:w="120" w:type="dxa"/>
            </w:tcMar>
            <w:shd w:fill="F8FAFC"/>
          </w:tcPr>
          <w:p>
            <w:r>
              <w:rPr>
                <w:rFonts w:ascii="Arial" w:hAnsi="Arial"/>
                <w:sz w:val="17"/>
              </w:rPr>
              <w:t>/ledger</w:t>
            </w:r>
          </w:p>
        </w:tc>
        <w:tc>
          <w:tcPr>
            <w:tcW w:type="dxa" w:w="3293"/>
            <w:vAlign w:val="center"/>
            <w:tcMar>
              <w:top w:w="100" w:type="dxa"/>
              <w:start w:w="120" w:type="dxa"/>
              <w:bottom w:w="100" w:type="dxa"/>
              <w:end w:w="120" w:type="dxa"/>
            </w:tcMar>
            <w:shd w:fill="F8FAFC"/>
          </w:tcPr>
          <w:p>
            <w:r>
              <w:rPr>
                <w:rFonts w:ascii="Arial" w:hAnsi="Arial"/>
                <w:sz w:val="17"/>
              </w:rPr>
              <w:t>Audit ledger browser with verify-chain action and tamper-demo explanation.</w:t>
            </w:r>
          </w:p>
        </w:tc>
        <w:tc>
          <w:tcPr>
            <w:tcW w:type="dxa" w:w="3293"/>
            <w:vAlign w:val="center"/>
            <w:tcMar>
              <w:top w:w="100" w:type="dxa"/>
              <w:start w:w="120" w:type="dxa"/>
              <w:bottom w:w="100" w:type="dxa"/>
              <w:end w:w="120" w:type="dxa"/>
            </w:tcMar>
            <w:shd w:fill="F8FAFC"/>
          </w:tcPr>
          <w:p>
            <w:r>
              <w:rPr>
                <w:rFonts w:ascii="Arial" w:hAnsi="Arial"/>
                <w:sz w:val="17"/>
              </w:rPr>
              <w:t>Ledger rows, hashes, verification result.</w:t>
            </w:r>
          </w:p>
        </w:tc>
      </w:tr>
      <w:tr>
        <w:tc>
          <w:tcPr>
            <w:tcW w:type="dxa" w:w="3293"/>
            <w:vAlign w:val="center"/>
            <w:tcMar>
              <w:top w:w="100" w:type="dxa"/>
              <w:start w:w="120" w:type="dxa"/>
              <w:bottom w:w="100" w:type="dxa"/>
              <w:end w:w="120" w:type="dxa"/>
            </w:tcMar>
          </w:tcPr>
          <w:p>
            <w:r>
              <w:rPr>
                <w:rFonts w:ascii="Arial" w:hAnsi="Arial"/>
                <w:sz w:val="17"/>
              </w:rPr>
              <w:t>/attack-sim</w:t>
            </w:r>
          </w:p>
        </w:tc>
        <w:tc>
          <w:tcPr>
            <w:tcW w:type="dxa" w:w="3293"/>
            <w:vAlign w:val="center"/>
            <w:tcMar>
              <w:top w:w="100" w:type="dxa"/>
              <w:start w:w="120" w:type="dxa"/>
              <w:bottom w:w="100" w:type="dxa"/>
              <w:end w:w="120" w:type="dxa"/>
            </w:tcMar>
          </w:tcPr>
          <w:p>
            <w:r>
              <w:rPr>
                <w:rFonts w:ascii="Arial" w:hAnsi="Arial"/>
                <w:sz w:val="17"/>
              </w:rPr>
              <w:t>Security testing terminal with curated attacks and custom payloads.</w:t>
            </w:r>
          </w:p>
        </w:tc>
        <w:tc>
          <w:tcPr>
            <w:tcW w:type="dxa" w:w="3293"/>
            <w:vAlign w:val="center"/>
            <w:tcMar>
              <w:top w:w="100" w:type="dxa"/>
              <w:start w:w="120" w:type="dxa"/>
              <w:bottom w:w="100" w:type="dxa"/>
              <w:end w:w="120" w:type="dxa"/>
            </w:tcMar>
          </w:tcPr>
          <w:p>
            <w:r>
              <w:rPr>
                <w:rFonts w:ascii="Arial" w:hAnsi="Arial"/>
                <w:sz w:val="17"/>
              </w:rPr>
              <w:t>Attack result, verdict, evidence, latency, ledger id.</w:t>
            </w:r>
          </w:p>
        </w:tc>
      </w:tr>
      <w:tr>
        <w:tc>
          <w:tcPr>
            <w:tcW w:type="dxa" w:w="3293"/>
            <w:vAlign w:val="center"/>
            <w:tcMar>
              <w:top w:w="100" w:type="dxa"/>
              <w:start w:w="120" w:type="dxa"/>
              <w:bottom w:w="100" w:type="dxa"/>
              <w:end w:w="120" w:type="dxa"/>
            </w:tcMar>
            <w:shd w:fill="F8FAFC"/>
          </w:tcPr>
          <w:p>
            <w:r>
              <w:rPr>
                <w:rFonts w:ascii="Arial" w:hAnsi="Arial"/>
                <w:sz w:val="17"/>
              </w:rPr>
              <w:t>/agents</w:t>
            </w:r>
          </w:p>
        </w:tc>
        <w:tc>
          <w:tcPr>
            <w:tcW w:type="dxa" w:w="3293"/>
            <w:vAlign w:val="center"/>
            <w:tcMar>
              <w:top w:w="100" w:type="dxa"/>
              <w:start w:w="120" w:type="dxa"/>
              <w:bottom w:w="100" w:type="dxa"/>
              <w:end w:w="120" w:type="dxa"/>
            </w:tcMar>
            <w:shd w:fill="F8FAFC"/>
          </w:tcPr>
          <w:p>
            <w:r>
              <w:rPr>
                <w:rFonts w:ascii="Arial" w:hAnsi="Arial"/>
                <w:sz w:val="17"/>
              </w:rPr>
              <w:t>Agent registry, status, permissions, trust history, revoke action.</w:t>
            </w:r>
          </w:p>
        </w:tc>
        <w:tc>
          <w:tcPr>
            <w:tcW w:type="dxa" w:w="3293"/>
            <w:vAlign w:val="center"/>
            <w:tcMar>
              <w:top w:w="100" w:type="dxa"/>
              <w:start w:w="120" w:type="dxa"/>
              <w:bottom w:w="100" w:type="dxa"/>
              <w:end w:w="120" w:type="dxa"/>
            </w:tcMar>
            <w:shd w:fill="F8FAFC"/>
          </w:tcPr>
          <w:p>
            <w:r>
              <w:rPr>
                <w:rFonts w:ascii="Arial" w:hAnsi="Arial"/>
                <w:sz w:val="17"/>
              </w:rPr>
              <w:t>Agent records, manifests, trust history.</w:t>
            </w:r>
          </w:p>
        </w:tc>
      </w:tr>
      <w:tr>
        <w:tc>
          <w:tcPr>
            <w:tcW w:type="dxa" w:w="3293"/>
            <w:vAlign w:val="center"/>
            <w:tcMar>
              <w:top w:w="100" w:type="dxa"/>
              <w:start w:w="120" w:type="dxa"/>
              <w:bottom w:w="100" w:type="dxa"/>
              <w:end w:w="120" w:type="dxa"/>
            </w:tcMar>
          </w:tcPr>
          <w:p>
            <w:r>
              <w:rPr>
                <w:rFonts w:ascii="Arial" w:hAnsi="Arial"/>
                <w:sz w:val="17"/>
              </w:rPr>
              <w:t>/</w:t>
            </w:r>
          </w:p>
        </w:tc>
        <w:tc>
          <w:tcPr>
            <w:tcW w:type="dxa" w:w="3293"/>
            <w:vAlign w:val="center"/>
            <w:tcMar>
              <w:top w:w="100" w:type="dxa"/>
              <w:start w:w="120" w:type="dxa"/>
              <w:bottom w:w="100" w:type="dxa"/>
              <w:end w:w="120" w:type="dxa"/>
            </w:tcMar>
          </w:tcPr>
          <w:p>
            <w:r>
              <w:rPr>
                <w:rFonts w:ascii="Arial" w:hAnsi="Arial"/>
                <w:sz w:val="17"/>
              </w:rPr>
              <w:t>Production landing page with live counters and path into console.</w:t>
            </w:r>
          </w:p>
        </w:tc>
        <w:tc>
          <w:tcPr>
            <w:tcW w:type="dxa" w:w="3293"/>
            <w:vAlign w:val="center"/>
            <w:tcMar>
              <w:top w:w="100" w:type="dxa"/>
              <w:start w:w="120" w:type="dxa"/>
              <w:bottom w:w="100" w:type="dxa"/>
              <w:end w:w="120" w:type="dxa"/>
            </w:tcMar>
          </w:tcPr>
          <w:p>
            <w:r>
              <w:rPr>
                <w:rFonts w:ascii="Arial" w:hAnsi="Arial"/>
                <w:sz w:val="17"/>
              </w:rPr>
              <w:t>At minimum threat count and system status.</w:t>
            </w:r>
          </w:p>
        </w:tc>
      </w:tr>
    </w:tbl>
    <w:p/>
    <w:p>
      <w:r>
        <w:t>Mobile behavior must preserve utility. Under 768 px, replace the full Three.js graph with a sortable agent/event list and compact trust indicators. Do not use a static screenshot as the only mobile fallback.</w:t>
      </w:r>
    </w:p>
    <w:p>
      <w:pPr>
        <w:pStyle w:val="Heading1"/>
      </w:pPr>
      <w:r>
        <w:t>8. Implementation Phases</w:t>
      </w:r>
    </w:p>
    <w:tbl>
      <w:tblPr>
        <w:tblStyle w:val="TableGrid"/>
        <w:tblW w:type="auto" w:w="0"/>
        <w:jc w:val="left"/>
        <w:tblLook w:firstColumn="1" w:firstRow="1" w:lastColumn="0" w:lastRow="0" w:noHBand="0" w:noVBand="1" w:val="04A0"/>
      </w:tblPr>
      <w:tblGrid>
        <w:gridCol w:w="3293"/>
        <w:gridCol w:w="3293"/>
        <w:gridCol w:w="3293"/>
      </w:tblGrid>
      <w:tr>
        <w:tc>
          <w:tcPr>
            <w:tcW w:type="dxa" w:w="3293"/>
            <w:vAlign w:val="center"/>
            <w:tcMar>
              <w:top w:w="100" w:type="dxa"/>
              <w:start w:w="120" w:type="dxa"/>
              <w:bottom w:w="100" w:type="dxa"/>
              <w:end w:w="120" w:type="dxa"/>
            </w:tcMar>
            <w:shd w:fill="1E3A8A"/>
          </w:tcPr>
          <w:p>
            <w:r>
              <w:rPr>
                <w:rFonts w:ascii="Arial" w:hAnsi="Arial"/>
                <w:b/>
                <w:color w:val="F8FAFC"/>
                <w:sz w:val="17"/>
              </w:rPr>
              <w:t>Phase</w:t>
            </w:r>
          </w:p>
        </w:tc>
        <w:tc>
          <w:tcPr>
            <w:tcW w:type="dxa" w:w="3293"/>
            <w:vAlign w:val="center"/>
            <w:tcMar>
              <w:top w:w="100" w:type="dxa"/>
              <w:start w:w="120" w:type="dxa"/>
              <w:bottom w:w="100" w:type="dxa"/>
              <w:end w:w="120" w:type="dxa"/>
            </w:tcMar>
            <w:shd w:fill="1E3A8A"/>
          </w:tcPr>
          <w:p>
            <w:r>
              <w:rPr>
                <w:rFonts w:ascii="Arial" w:hAnsi="Arial"/>
                <w:b/>
                <w:color w:val="F8FAFC"/>
                <w:sz w:val="17"/>
              </w:rPr>
              <w:t>Deliverable</w:t>
            </w:r>
          </w:p>
        </w:tc>
        <w:tc>
          <w:tcPr>
            <w:tcW w:type="dxa" w:w="3293"/>
            <w:vAlign w:val="center"/>
            <w:tcMar>
              <w:top w:w="100" w:type="dxa"/>
              <w:start w:w="120" w:type="dxa"/>
              <w:bottom w:w="100" w:type="dxa"/>
              <w:end w:w="120" w:type="dxa"/>
            </w:tcMar>
            <w:shd w:fill="1E3A8A"/>
          </w:tcPr>
          <w:p>
            <w:r>
              <w:rPr>
                <w:rFonts w:ascii="Arial" w:hAnsi="Arial"/>
                <w:b/>
                <w:color w:val="F8FAFC"/>
                <w:sz w:val="17"/>
              </w:rPr>
              <w:t>Exit Criteria</w:t>
            </w:r>
          </w:p>
        </w:tc>
      </w:tr>
      <w:tr>
        <w:tc>
          <w:tcPr>
            <w:tcW w:type="dxa" w:w="3293"/>
            <w:vAlign w:val="center"/>
            <w:tcMar>
              <w:top w:w="100" w:type="dxa"/>
              <w:start w:w="120" w:type="dxa"/>
              <w:bottom w:w="100" w:type="dxa"/>
              <w:end w:w="120" w:type="dxa"/>
            </w:tcMar>
          </w:tcPr>
          <w:p>
            <w:r>
              <w:rPr>
                <w:rFonts w:ascii="Arial" w:hAnsi="Arial"/>
                <w:sz w:val="17"/>
              </w:rPr>
              <w:t>0 - Foundation</w:t>
            </w:r>
          </w:p>
        </w:tc>
        <w:tc>
          <w:tcPr>
            <w:tcW w:type="dxa" w:w="3293"/>
            <w:vAlign w:val="center"/>
            <w:tcMar>
              <w:top w:w="100" w:type="dxa"/>
              <w:start w:w="120" w:type="dxa"/>
              <w:bottom w:w="100" w:type="dxa"/>
              <w:end w:w="120" w:type="dxa"/>
            </w:tcMar>
          </w:tcPr>
          <w:p>
            <w:r>
              <w:rPr>
                <w:rFonts w:ascii="Arial" w:hAnsi="Arial"/>
                <w:sz w:val="17"/>
              </w:rPr>
              <w:t>Repo scaffold, env template, database migrations, API health, CI checks.</w:t>
            </w:r>
          </w:p>
        </w:tc>
        <w:tc>
          <w:tcPr>
            <w:tcW w:type="dxa" w:w="3293"/>
            <w:vAlign w:val="center"/>
            <w:tcMar>
              <w:top w:w="100" w:type="dxa"/>
              <w:start w:w="120" w:type="dxa"/>
              <w:bottom w:w="100" w:type="dxa"/>
              <w:end w:w="120" w:type="dxa"/>
            </w:tcMar>
          </w:tcPr>
          <w:p>
            <w:r>
              <w:rPr>
                <w:rFonts w:ascii="Arial" w:hAnsi="Arial"/>
                <w:sz w:val="17"/>
              </w:rPr>
              <w:t>Local backend and frontend boot; migrations apply cleanly.</w:t>
            </w:r>
          </w:p>
        </w:tc>
      </w:tr>
      <w:tr>
        <w:tc>
          <w:tcPr>
            <w:tcW w:type="dxa" w:w="3293"/>
            <w:vAlign w:val="center"/>
            <w:tcMar>
              <w:top w:w="100" w:type="dxa"/>
              <w:start w:w="120" w:type="dxa"/>
              <w:bottom w:w="100" w:type="dxa"/>
              <w:end w:w="120" w:type="dxa"/>
            </w:tcMar>
            <w:shd w:fill="F8FAFC"/>
          </w:tcPr>
          <w:p>
            <w:r>
              <w:rPr>
                <w:rFonts w:ascii="Arial" w:hAnsi="Arial"/>
                <w:sz w:val="17"/>
              </w:rPr>
              <w:t>1 - Security Core</w:t>
            </w:r>
          </w:p>
        </w:tc>
        <w:tc>
          <w:tcPr>
            <w:tcW w:type="dxa" w:w="3293"/>
            <w:vAlign w:val="center"/>
            <w:tcMar>
              <w:top w:w="100" w:type="dxa"/>
              <w:start w:w="120" w:type="dxa"/>
              <w:bottom w:w="100" w:type="dxa"/>
              <w:end w:w="120" w:type="dxa"/>
            </w:tcMar>
            <w:shd w:fill="F8FAFC"/>
          </w:tcPr>
          <w:p>
            <w:r>
              <w:rPr>
                <w:rFonts w:ascii="Arial" w:hAnsi="Arial"/>
                <w:sz w:val="17"/>
              </w:rPr>
              <w:t>API key auth, agent JWTs, permission manifests, deterministic injection detector.</w:t>
            </w:r>
          </w:p>
        </w:tc>
        <w:tc>
          <w:tcPr>
            <w:tcW w:type="dxa" w:w="3293"/>
            <w:vAlign w:val="center"/>
            <w:tcMar>
              <w:top w:w="100" w:type="dxa"/>
              <w:start w:w="120" w:type="dxa"/>
              <w:bottom w:w="100" w:type="dxa"/>
              <w:end w:w="120" w:type="dxa"/>
            </w:tcMar>
            <w:shd w:fill="F8FAFC"/>
          </w:tcPr>
          <w:p>
            <w:r>
              <w:rPr>
                <w:rFonts w:ascii="Arial" w:hAnsi="Arial"/>
                <w:sz w:val="17"/>
              </w:rPr>
              <w:t>Protected message and tool-call tests pass.</w:t>
            </w:r>
          </w:p>
        </w:tc>
      </w:tr>
      <w:tr>
        <w:tc>
          <w:tcPr>
            <w:tcW w:type="dxa" w:w="3293"/>
            <w:vAlign w:val="center"/>
            <w:tcMar>
              <w:top w:w="100" w:type="dxa"/>
              <w:start w:w="120" w:type="dxa"/>
              <w:bottom w:w="100" w:type="dxa"/>
              <w:end w:w="120" w:type="dxa"/>
            </w:tcMar>
          </w:tcPr>
          <w:p>
            <w:r>
              <w:rPr>
                <w:rFonts w:ascii="Arial" w:hAnsi="Arial"/>
                <w:sz w:val="17"/>
              </w:rPr>
              <w:t>2 - Ledger And Trust</w:t>
            </w:r>
          </w:p>
        </w:tc>
        <w:tc>
          <w:tcPr>
            <w:tcW w:type="dxa" w:w="3293"/>
            <w:vAlign w:val="center"/>
            <w:tcMar>
              <w:top w:w="100" w:type="dxa"/>
              <w:start w:w="120" w:type="dxa"/>
              <w:bottom w:w="100" w:type="dxa"/>
              <w:end w:w="120" w:type="dxa"/>
            </w:tcMar>
          </w:tcPr>
          <w:p>
            <w:r>
              <w:rPr>
                <w:rFonts w:ascii="Arial" w:hAnsi="Arial"/>
                <w:sz w:val="17"/>
              </w:rPr>
              <w:t>Immutable audit ledger, chain verification, trust scoring, event outbox.</w:t>
            </w:r>
          </w:p>
        </w:tc>
        <w:tc>
          <w:tcPr>
            <w:tcW w:type="dxa" w:w="3293"/>
            <w:vAlign w:val="center"/>
            <w:tcMar>
              <w:top w:w="100" w:type="dxa"/>
              <w:start w:w="120" w:type="dxa"/>
              <w:bottom w:w="100" w:type="dxa"/>
              <w:end w:w="120" w:type="dxa"/>
            </w:tcMar>
          </w:tcPr>
          <w:p>
            <w:r>
              <w:rPr>
                <w:rFonts w:ascii="Arial" w:hAnsi="Arial"/>
                <w:sz w:val="17"/>
              </w:rPr>
              <w:t>Tamper test and concurrent ledger-write test pass.</w:t>
            </w:r>
          </w:p>
        </w:tc>
      </w:tr>
      <w:tr>
        <w:tc>
          <w:tcPr>
            <w:tcW w:type="dxa" w:w="3293"/>
            <w:vAlign w:val="center"/>
            <w:tcMar>
              <w:top w:w="100" w:type="dxa"/>
              <w:start w:w="120" w:type="dxa"/>
              <w:bottom w:w="100" w:type="dxa"/>
              <w:end w:w="120" w:type="dxa"/>
            </w:tcMar>
            <w:shd w:fill="F8FAFC"/>
          </w:tcPr>
          <w:p>
            <w:r>
              <w:rPr>
                <w:rFonts w:ascii="Arial" w:hAnsi="Arial"/>
                <w:sz w:val="17"/>
              </w:rPr>
              <w:t>3 - SDK And Demo Agent</w:t>
            </w:r>
          </w:p>
        </w:tc>
        <w:tc>
          <w:tcPr>
            <w:tcW w:type="dxa" w:w="3293"/>
            <w:vAlign w:val="center"/>
            <w:tcMar>
              <w:top w:w="100" w:type="dxa"/>
              <w:start w:w="120" w:type="dxa"/>
              <w:bottom w:w="100" w:type="dxa"/>
              <w:end w:w="120" w:type="dxa"/>
            </w:tcMar>
            <w:shd w:fill="F8FAFC"/>
          </w:tcPr>
          <w:p>
            <w:r>
              <w:rPr>
                <w:rFonts w:ascii="Arial" w:hAnsi="Arial"/>
                <w:sz w:val="17"/>
              </w:rPr>
              <w:t>Python SDK, demo protected agent, attack fixtures.</w:t>
            </w:r>
          </w:p>
        </w:tc>
        <w:tc>
          <w:tcPr>
            <w:tcW w:type="dxa" w:w="3293"/>
            <w:vAlign w:val="center"/>
            <w:tcMar>
              <w:top w:w="100" w:type="dxa"/>
              <w:start w:w="120" w:type="dxa"/>
              <w:bottom w:w="100" w:type="dxa"/>
              <w:end w:w="120" w:type="dxa"/>
            </w:tcMar>
            <w:shd w:fill="F8FAFC"/>
          </w:tcPr>
          <w:p>
            <w:r>
              <w:rPr>
                <w:rFonts w:ascii="Arial" w:hAnsi="Arial"/>
                <w:sz w:val="17"/>
              </w:rPr>
              <w:t>SDK example blocks known attacks and logs ledger entries.</w:t>
            </w:r>
          </w:p>
        </w:tc>
      </w:tr>
      <w:tr>
        <w:tc>
          <w:tcPr>
            <w:tcW w:type="dxa" w:w="3293"/>
            <w:vAlign w:val="center"/>
            <w:tcMar>
              <w:top w:w="100" w:type="dxa"/>
              <w:start w:w="120" w:type="dxa"/>
              <w:bottom w:w="100" w:type="dxa"/>
              <w:end w:w="120" w:type="dxa"/>
            </w:tcMar>
          </w:tcPr>
          <w:p>
            <w:r>
              <w:rPr>
                <w:rFonts w:ascii="Arial" w:hAnsi="Arial"/>
                <w:sz w:val="17"/>
              </w:rPr>
              <w:t>4 - Dashboard</w:t>
            </w:r>
          </w:p>
        </w:tc>
        <w:tc>
          <w:tcPr>
            <w:tcW w:type="dxa" w:w="3293"/>
            <w:vAlign w:val="center"/>
            <w:tcMar>
              <w:top w:w="100" w:type="dxa"/>
              <w:start w:w="120" w:type="dxa"/>
              <w:bottom w:w="100" w:type="dxa"/>
              <w:end w:w="120" w:type="dxa"/>
            </w:tcMar>
          </w:tcPr>
          <w:p>
            <w:r>
              <w:rPr>
                <w:rFonts w:ascii="Arial" w:hAnsi="Arial"/>
                <w:sz w:val="17"/>
              </w:rPr>
              <w:t>Next.js dashboard, ledger browser, attack simulator, WebSocket feed.</w:t>
            </w:r>
          </w:p>
        </w:tc>
        <w:tc>
          <w:tcPr>
            <w:tcW w:type="dxa" w:w="3293"/>
            <w:vAlign w:val="center"/>
            <w:tcMar>
              <w:top w:w="100" w:type="dxa"/>
              <w:start w:w="120" w:type="dxa"/>
              <w:bottom w:w="100" w:type="dxa"/>
              <w:end w:w="120" w:type="dxa"/>
            </w:tcMar>
          </w:tcPr>
          <w:p>
            <w:r>
              <w:rPr>
                <w:rFonts w:ascii="Arial" w:hAnsi="Arial"/>
                <w:sz w:val="17"/>
              </w:rPr>
              <w:t>Browser smoke test covers core routes using real backend.</w:t>
            </w:r>
          </w:p>
        </w:tc>
      </w:tr>
      <w:tr>
        <w:tc>
          <w:tcPr>
            <w:tcW w:type="dxa" w:w="3293"/>
            <w:vAlign w:val="center"/>
            <w:tcMar>
              <w:top w:w="100" w:type="dxa"/>
              <w:start w:w="120" w:type="dxa"/>
              <w:bottom w:w="100" w:type="dxa"/>
              <w:end w:w="120" w:type="dxa"/>
            </w:tcMar>
            <w:shd w:fill="F8FAFC"/>
          </w:tcPr>
          <w:p>
            <w:r>
              <w:rPr>
                <w:rFonts w:ascii="Arial" w:hAnsi="Arial"/>
                <w:sz w:val="17"/>
              </w:rPr>
              <w:t>5 - Production Readiness</w:t>
            </w:r>
          </w:p>
        </w:tc>
        <w:tc>
          <w:tcPr>
            <w:tcW w:type="dxa" w:w="3293"/>
            <w:vAlign w:val="center"/>
            <w:tcMar>
              <w:top w:w="100" w:type="dxa"/>
              <w:start w:w="120" w:type="dxa"/>
              <w:bottom w:w="100" w:type="dxa"/>
              <w:end w:w="120" w:type="dxa"/>
            </w:tcMar>
            <w:shd w:fill="F8FAFC"/>
          </w:tcPr>
          <w:p>
            <w:r>
              <w:rPr>
                <w:rFonts w:ascii="Arial" w:hAnsi="Arial"/>
                <w:sz w:val="17"/>
              </w:rPr>
              <w:t>Deployment, monitoring, rate limits, backups, key rotation, incident runbooks.</w:t>
            </w:r>
          </w:p>
        </w:tc>
        <w:tc>
          <w:tcPr>
            <w:tcW w:type="dxa" w:w="3293"/>
            <w:vAlign w:val="center"/>
            <w:tcMar>
              <w:top w:w="100" w:type="dxa"/>
              <w:start w:w="120" w:type="dxa"/>
              <w:bottom w:w="100" w:type="dxa"/>
              <w:end w:w="120" w:type="dxa"/>
            </w:tcMar>
            <w:shd w:fill="F8FAFC"/>
          </w:tcPr>
          <w:p>
            <w:r>
              <w:rPr>
                <w:rFonts w:ascii="Arial" w:hAnsi="Arial"/>
                <w:sz w:val="17"/>
              </w:rPr>
              <w:t>Production smoke test and readiness checklist pass.</w:t>
            </w:r>
          </w:p>
        </w:tc>
      </w:tr>
    </w:tbl>
    <w:p/>
    <w:p>
      <w:pPr>
        <w:pStyle w:val="Heading1"/>
      </w:pPr>
      <w:r>
        <w:t>9. Requirement Disposition</w:t>
      </w:r>
    </w:p>
    <w:tbl>
      <w:tblPr>
        <w:tblStyle w:val="TableGrid"/>
        <w:tblW w:type="auto" w:w="0"/>
        <w:jc w:val="left"/>
        <w:tblLook w:firstColumn="1" w:firstRow="1" w:lastColumn="0" w:lastRow="0" w:noHBand="0" w:noVBand="1" w:val="04A0"/>
      </w:tblPr>
      <w:tblGrid>
        <w:gridCol w:w="3293"/>
        <w:gridCol w:w="3293"/>
        <w:gridCol w:w="3293"/>
      </w:tblGrid>
      <w:tr>
        <w:tc>
          <w:tcPr>
            <w:tcW w:type="dxa" w:w="3293"/>
            <w:vAlign w:val="center"/>
            <w:tcMar>
              <w:top w:w="100" w:type="dxa"/>
              <w:start w:w="120" w:type="dxa"/>
              <w:bottom w:w="100" w:type="dxa"/>
              <w:end w:w="120" w:type="dxa"/>
            </w:tcMar>
            <w:shd w:fill="1E3A8A"/>
          </w:tcPr>
          <w:p>
            <w:r>
              <w:rPr>
                <w:rFonts w:ascii="Arial" w:hAnsi="Arial"/>
                <w:b/>
                <w:color w:val="F8FAFC"/>
                <w:sz w:val="17"/>
              </w:rPr>
              <w:t>Original Requirement</w:t>
            </w:r>
          </w:p>
        </w:tc>
        <w:tc>
          <w:tcPr>
            <w:tcW w:type="dxa" w:w="3293"/>
            <w:vAlign w:val="center"/>
            <w:tcMar>
              <w:top w:w="100" w:type="dxa"/>
              <w:start w:w="120" w:type="dxa"/>
              <w:bottom w:w="100" w:type="dxa"/>
              <w:end w:w="120" w:type="dxa"/>
            </w:tcMar>
            <w:shd w:fill="1E3A8A"/>
          </w:tcPr>
          <w:p>
            <w:r>
              <w:rPr>
                <w:rFonts w:ascii="Arial" w:hAnsi="Arial"/>
                <w:b/>
                <w:color w:val="F8FAFC"/>
                <w:sz w:val="17"/>
              </w:rPr>
              <w:t>Disposition</w:t>
            </w:r>
          </w:p>
        </w:tc>
        <w:tc>
          <w:tcPr>
            <w:tcW w:type="dxa" w:w="3293"/>
            <w:vAlign w:val="center"/>
            <w:tcMar>
              <w:top w:w="100" w:type="dxa"/>
              <w:start w:w="120" w:type="dxa"/>
              <w:bottom w:w="100" w:type="dxa"/>
              <w:end w:w="120" w:type="dxa"/>
            </w:tcMar>
            <w:shd w:fill="1E3A8A"/>
          </w:tcPr>
          <w:p>
            <w:r>
              <w:rPr>
                <w:rFonts w:ascii="Arial" w:hAnsi="Arial"/>
                <w:b/>
                <w:color w:val="F8FAFC"/>
                <w:sz w:val="17"/>
              </w:rPr>
              <w:t>Production v1 Decision</w:t>
            </w:r>
          </w:p>
        </w:tc>
      </w:tr>
      <w:tr>
        <w:tc>
          <w:tcPr>
            <w:tcW w:type="dxa" w:w="3293"/>
            <w:vAlign w:val="center"/>
            <w:tcMar>
              <w:top w:w="100" w:type="dxa"/>
              <w:start w:w="120" w:type="dxa"/>
              <w:bottom w:w="100" w:type="dxa"/>
              <w:end w:w="120" w:type="dxa"/>
            </w:tcMar>
          </w:tcPr>
          <w:p>
            <w:r>
              <w:rPr>
                <w:rFonts w:ascii="Arial" w:hAnsi="Arial"/>
                <w:sz w:val="17"/>
              </w:rPr>
              <w:t>Prompt injection detector</w:t>
            </w:r>
          </w:p>
        </w:tc>
        <w:tc>
          <w:tcPr>
            <w:tcW w:type="dxa" w:w="3293"/>
            <w:vAlign w:val="center"/>
            <w:tcMar>
              <w:top w:w="100" w:type="dxa"/>
              <w:start w:w="120" w:type="dxa"/>
              <w:bottom w:w="100" w:type="dxa"/>
              <w:end w:w="120" w:type="dxa"/>
            </w:tcMar>
          </w:tcPr>
          <w:p>
            <w:r>
              <w:rPr>
                <w:rFonts w:ascii="Arial" w:hAnsi="Arial"/>
                <w:sz w:val="17"/>
              </w:rPr>
              <w:t>Carried forward and revised.</w:t>
            </w:r>
          </w:p>
        </w:tc>
        <w:tc>
          <w:tcPr>
            <w:tcW w:type="dxa" w:w="3293"/>
            <w:vAlign w:val="center"/>
            <w:tcMar>
              <w:top w:w="100" w:type="dxa"/>
              <w:start w:w="120" w:type="dxa"/>
              <w:bottom w:w="100" w:type="dxa"/>
              <w:end w:w="120" w:type="dxa"/>
            </w:tcMar>
          </w:tcPr>
          <w:p>
            <w:r>
              <w:rPr>
                <w:rFonts w:ascii="Arial" w:hAnsi="Arial"/>
                <w:sz w:val="17"/>
              </w:rPr>
              <w:t>Deterministic fast path required; LLM classifier async or explicit deep mode.</w:t>
            </w:r>
          </w:p>
        </w:tc>
      </w:tr>
      <w:tr>
        <w:tc>
          <w:tcPr>
            <w:tcW w:type="dxa" w:w="3293"/>
            <w:vAlign w:val="center"/>
            <w:tcMar>
              <w:top w:w="100" w:type="dxa"/>
              <w:start w:w="120" w:type="dxa"/>
              <w:bottom w:w="100" w:type="dxa"/>
              <w:end w:w="120" w:type="dxa"/>
            </w:tcMar>
            <w:shd w:fill="F8FAFC"/>
          </w:tcPr>
          <w:p>
            <w:r>
              <w:rPr>
                <w:rFonts w:ascii="Arial" w:hAnsi="Arial"/>
                <w:sz w:val="17"/>
              </w:rPr>
              <w:t>Agent identity tokens</w:t>
            </w:r>
          </w:p>
        </w:tc>
        <w:tc>
          <w:tcPr>
            <w:tcW w:type="dxa" w:w="3293"/>
            <w:vAlign w:val="center"/>
            <w:tcMar>
              <w:top w:w="100" w:type="dxa"/>
              <w:start w:w="120" w:type="dxa"/>
              <w:bottom w:w="100" w:type="dxa"/>
              <w:end w:w="120" w:type="dxa"/>
            </w:tcMar>
            <w:shd w:fill="F8FAFC"/>
          </w:tcPr>
          <w:p>
            <w:r>
              <w:rPr>
                <w:rFonts w:ascii="Arial" w:hAnsi="Arial"/>
                <w:sz w:val="17"/>
              </w:rPr>
              <w:t>Carried forward.</w:t>
            </w:r>
          </w:p>
        </w:tc>
        <w:tc>
          <w:tcPr>
            <w:tcW w:type="dxa" w:w="3293"/>
            <w:vAlign w:val="center"/>
            <w:tcMar>
              <w:top w:w="100" w:type="dxa"/>
              <w:start w:w="120" w:type="dxa"/>
              <w:bottom w:w="100" w:type="dxa"/>
              <w:end w:w="120" w:type="dxa"/>
            </w:tcMar>
            <w:shd w:fill="F8FAFC"/>
          </w:tcPr>
          <w:p>
            <w:r>
              <w:rPr>
                <w:rFonts w:ascii="Arial" w:hAnsi="Arial"/>
                <w:sz w:val="17"/>
              </w:rPr>
              <w:t>RS256 JWT with jti, kid, tenant_id, scopes, expiry, revocation, and rotation.</w:t>
            </w:r>
          </w:p>
        </w:tc>
      </w:tr>
      <w:tr>
        <w:tc>
          <w:tcPr>
            <w:tcW w:type="dxa" w:w="3293"/>
            <w:vAlign w:val="center"/>
            <w:tcMar>
              <w:top w:w="100" w:type="dxa"/>
              <w:start w:w="120" w:type="dxa"/>
              <w:bottom w:w="100" w:type="dxa"/>
              <w:end w:w="120" w:type="dxa"/>
            </w:tcMar>
          </w:tcPr>
          <w:p>
            <w:r>
              <w:rPr>
                <w:rFonts w:ascii="Arial" w:hAnsi="Arial"/>
                <w:sz w:val="17"/>
              </w:rPr>
              <w:t>Permission enforcement</w:t>
            </w:r>
          </w:p>
        </w:tc>
        <w:tc>
          <w:tcPr>
            <w:tcW w:type="dxa" w:w="3293"/>
            <w:vAlign w:val="center"/>
            <w:tcMar>
              <w:top w:w="100" w:type="dxa"/>
              <w:start w:w="120" w:type="dxa"/>
              <w:bottom w:w="100" w:type="dxa"/>
              <w:end w:w="120" w:type="dxa"/>
            </w:tcMar>
          </w:tcPr>
          <w:p>
            <w:r>
              <w:rPr>
                <w:rFonts w:ascii="Arial" w:hAnsi="Arial"/>
                <w:sz w:val="17"/>
              </w:rPr>
              <w:t>Carried forward and tightened.</w:t>
            </w:r>
          </w:p>
        </w:tc>
        <w:tc>
          <w:tcPr>
            <w:tcW w:type="dxa" w:w="3293"/>
            <w:vAlign w:val="center"/>
            <w:tcMar>
              <w:top w:w="100" w:type="dxa"/>
              <w:start w:w="120" w:type="dxa"/>
              <w:bottom w:w="100" w:type="dxa"/>
              <w:end w:w="120" w:type="dxa"/>
            </w:tcMar>
          </w:tcPr>
          <w:p>
            <w:r>
              <w:rPr>
                <w:rFonts w:ascii="Arial" w:hAnsi="Arial"/>
                <w:sz w:val="17"/>
              </w:rPr>
              <w:t>Deny by default; server-side enforcement before tool execution.</w:t>
            </w:r>
          </w:p>
        </w:tc>
      </w:tr>
      <w:tr>
        <w:tc>
          <w:tcPr>
            <w:tcW w:type="dxa" w:w="3293"/>
            <w:vAlign w:val="center"/>
            <w:tcMar>
              <w:top w:w="100" w:type="dxa"/>
              <w:start w:w="120" w:type="dxa"/>
              <w:bottom w:w="100" w:type="dxa"/>
              <w:end w:w="120" w:type="dxa"/>
            </w:tcMar>
            <w:shd w:fill="F8FAFC"/>
          </w:tcPr>
          <w:p>
            <w:r>
              <w:rPr>
                <w:rFonts w:ascii="Arial" w:hAnsi="Arial"/>
                <w:sz w:val="17"/>
              </w:rPr>
              <w:t>Tamper-proof audit ledger</w:t>
            </w:r>
          </w:p>
        </w:tc>
        <w:tc>
          <w:tcPr>
            <w:tcW w:type="dxa" w:w="3293"/>
            <w:vAlign w:val="center"/>
            <w:tcMar>
              <w:top w:w="100" w:type="dxa"/>
              <w:start w:w="120" w:type="dxa"/>
              <w:bottom w:w="100" w:type="dxa"/>
              <w:end w:w="120" w:type="dxa"/>
            </w:tcMar>
            <w:shd w:fill="F8FAFC"/>
          </w:tcPr>
          <w:p>
            <w:r>
              <w:rPr>
                <w:rFonts w:ascii="Arial" w:hAnsi="Arial"/>
                <w:sz w:val="17"/>
              </w:rPr>
              <w:t>Carried forward and strengthened.</w:t>
            </w:r>
          </w:p>
        </w:tc>
        <w:tc>
          <w:tcPr>
            <w:tcW w:type="dxa" w:w="3293"/>
            <w:vAlign w:val="center"/>
            <w:tcMar>
              <w:top w:w="100" w:type="dxa"/>
              <w:start w:w="120" w:type="dxa"/>
              <w:bottom w:w="100" w:type="dxa"/>
              <w:end w:w="120" w:type="dxa"/>
            </w:tcMar>
            <w:shd w:fill="F8FAFC"/>
          </w:tcPr>
          <w:p>
            <w:r>
              <w:rPr>
                <w:rFonts w:ascii="Arial" w:hAnsi="Arial"/>
                <w:sz w:val="17"/>
              </w:rPr>
              <w:t>DB-level append-only controls, hash chain, transaction locking, verify API.</w:t>
            </w:r>
          </w:p>
        </w:tc>
      </w:tr>
      <w:tr>
        <w:tc>
          <w:tcPr>
            <w:tcW w:type="dxa" w:w="3293"/>
            <w:vAlign w:val="center"/>
            <w:tcMar>
              <w:top w:w="100" w:type="dxa"/>
              <w:start w:w="120" w:type="dxa"/>
              <w:bottom w:w="100" w:type="dxa"/>
              <w:end w:w="120" w:type="dxa"/>
            </w:tcMar>
          </w:tcPr>
          <w:p>
            <w:r>
              <w:rPr>
                <w:rFonts w:ascii="Arial" w:hAnsi="Arial"/>
                <w:sz w:val="17"/>
              </w:rPr>
              <w:t>Threat dashboard and 3D graph</w:t>
            </w:r>
          </w:p>
        </w:tc>
        <w:tc>
          <w:tcPr>
            <w:tcW w:type="dxa" w:w="3293"/>
            <w:vAlign w:val="center"/>
            <w:tcMar>
              <w:top w:w="100" w:type="dxa"/>
              <w:start w:w="120" w:type="dxa"/>
              <w:bottom w:w="100" w:type="dxa"/>
              <w:end w:w="120" w:type="dxa"/>
            </w:tcMar>
          </w:tcPr>
          <w:p>
            <w:r>
              <w:rPr>
                <w:rFonts w:ascii="Arial" w:hAnsi="Arial"/>
                <w:sz w:val="17"/>
              </w:rPr>
              <w:t>Carried forward as P1.</w:t>
            </w:r>
          </w:p>
        </w:tc>
        <w:tc>
          <w:tcPr>
            <w:tcW w:type="dxa" w:w="3293"/>
            <w:vAlign w:val="center"/>
            <w:tcMar>
              <w:top w:w="100" w:type="dxa"/>
              <w:start w:w="120" w:type="dxa"/>
              <w:bottom w:w="100" w:type="dxa"/>
              <w:end w:w="120" w:type="dxa"/>
            </w:tcMar>
          </w:tcPr>
          <w:p>
            <w:r>
              <w:rPr>
                <w:rFonts w:ascii="Arial" w:hAnsi="Arial"/>
                <w:sz w:val="17"/>
              </w:rPr>
              <w:t>Uses stable REST/WebSocket data; mobile gets functional list fallback.</w:t>
            </w:r>
          </w:p>
        </w:tc>
      </w:tr>
      <w:tr>
        <w:tc>
          <w:tcPr>
            <w:tcW w:type="dxa" w:w="3293"/>
            <w:vAlign w:val="center"/>
            <w:tcMar>
              <w:top w:w="100" w:type="dxa"/>
              <w:start w:w="120" w:type="dxa"/>
              <w:bottom w:w="100" w:type="dxa"/>
              <w:end w:w="120" w:type="dxa"/>
            </w:tcMar>
            <w:shd w:fill="F8FAFC"/>
          </w:tcPr>
          <w:p>
            <w:r>
              <w:rPr>
                <w:rFonts w:ascii="Arial" w:hAnsi="Arial"/>
                <w:sz w:val="17"/>
              </w:rPr>
              <w:t>Attack simulation sandbox</w:t>
            </w:r>
          </w:p>
        </w:tc>
        <w:tc>
          <w:tcPr>
            <w:tcW w:type="dxa" w:w="3293"/>
            <w:vAlign w:val="center"/>
            <w:tcMar>
              <w:top w:w="100" w:type="dxa"/>
              <w:start w:w="120" w:type="dxa"/>
              <w:bottom w:w="100" w:type="dxa"/>
              <w:end w:w="120" w:type="dxa"/>
            </w:tcMar>
            <w:shd w:fill="F8FAFC"/>
          </w:tcPr>
          <w:p>
            <w:r>
              <w:rPr>
                <w:rFonts w:ascii="Arial" w:hAnsi="Arial"/>
                <w:sz w:val="17"/>
              </w:rPr>
              <w:t>Carried forward as P1.</w:t>
            </w:r>
          </w:p>
        </w:tc>
        <w:tc>
          <w:tcPr>
            <w:tcW w:type="dxa" w:w="3293"/>
            <w:vAlign w:val="center"/>
            <w:tcMar>
              <w:top w:w="100" w:type="dxa"/>
              <w:start w:w="120" w:type="dxa"/>
              <w:bottom w:w="100" w:type="dxa"/>
              <w:end w:w="120" w:type="dxa"/>
            </w:tcMar>
            <w:shd w:fill="F8FAFC"/>
          </w:tcPr>
          <w:p>
            <w:r>
              <w:rPr>
                <w:rFonts w:ascii="Arial" w:hAnsi="Arial"/>
                <w:sz w:val="17"/>
              </w:rPr>
              <w:t>Runs curated payloads against the real analyze endpoint and writes ledger entries.</w:t>
            </w:r>
          </w:p>
        </w:tc>
      </w:tr>
      <w:tr>
        <w:tc>
          <w:tcPr>
            <w:tcW w:type="dxa" w:w="3293"/>
            <w:vAlign w:val="center"/>
            <w:tcMar>
              <w:top w:w="100" w:type="dxa"/>
              <w:start w:w="120" w:type="dxa"/>
              <w:bottom w:w="100" w:type="dxa"/>
              <w:end w:w="120" w:type="dxa"/>
            </w:tcMar>
          </w:tcPr>
          <w:p>
            <w:r>
              <w:rPr>
                <w:rFonts w:ascii="Arial" w:hAnsi="Arial"/>
                <w:sz w:val="17"/>
              </w:rPr>
              <w:t>Trust score engine</w:t>
            </w:r>
          </w:p>
        </w:tc>
        <w:tc>
          <w:tcPr>
            <w:tcW w:type="dxa" w:w="3293"/>
            <w:vAlign w:val="center"/>
            <w:tcMar>
              <w:top w:w="100" w:type="dxa"/>
              <w:start w:w="120" w:type="dxa"/>
              <w:bottom w:w="100" w:type="dxa"/>
              <w:end w:w="120" w:type="dxa"/>
            </w:tcMar>
          </w:tcPr>
          <w:p>
            <w:r>
              <w:rPr>
                <w:rFonts w:ascii="Arial" w:hAnsi="Arial"/>
                <w:sz w:val="17"/>
              </w:rPr>
              <w:t>Carried forward and specified.</w:t>
            </w:r>
          </w:p>
        </w:tc>
        <w:tc>
          <w:tcPr>
            <w:tcW w:type="dxa" w:w="3293"/>
            <w:vAlign w:val="center"/>
            <w:tcMar>
              <w:top w:w="100" w:type="dxa"/>
              <w:start w:w="120" w:type="dxa"/>
              <w:bottom w:w="100" w:type="dxa"/>
              <w:end w:w="120" w:type="dxa"/>
            </w:tcMar>
          </w:tcPr>
          <w:p>
            <w:r>
              <w:rPr>
                <w:rFonts w:ascii="Arial" w:hAnsi="Arial"/>
                <w:sz w:val="17"/>
              </w:rPr>
              <w:t>Bounded score from 0.0 to 1.0 with deterministic event deltas.</w:t>
            </w:r>
          </w:p>
        </w:tc>
      </w:tr>
      <w:tr>
        <w:tc>
          <w:tcPr>
            <w:tcW w:type="dxa" w:w="3293"/>
            <w:vAlign w:val="center"/>
            <w:tcMar>
              <w:top w:w="100" w:type="dxa"/>
              <w:start w:w="120" w:type="dxa"/>
              <w:bottom w:w="100" w:type="dxa"/>
              <w:end w:w="120" w:type="dxa"/>
            </w:tcMar>
            <w:shd w:fill="F8FAFC"/>
          </w:tcPr>
          <w:p>
            <w:r>
              <w:rPr>
                <w:rFonts w:ascii="Arial" w:hAnsi="Arial"/>
                <w:sz w:val="17"/>
              </w:rPr>
              <w:t>REST API and SDK</w:t>
            </w:r>
          </w:p>
        </w:tc>
        <w:tc>
          <w:tcPr>
            <w:tcW w:type="dxa" w:w="3293"/>
            <w:vAlign w:val="center"/>
            <w:tcMar>
              <w:top w:w="100" w:type="dxa"/>
              <w:start w:w="120" w:type="dxa"/>
              <w:bottom w:w="100" w:type="dxa"/>
              <w:end w:w="120" w:type="dxa"/>
            </w:tcMar>
            <w:shd w:fill="F8FAFC"/>
          </w:tcPr>
          <w:p>
            <w:r>
              <w:rPr>
                <w:rFonts w:ascii="Arial" w:hAnsi="Arial"/>
                <w:sz w:val="17"/>
              </w:rPr>
              <w:t>Carried forward.</w:t>
            </w:r>
          </w:p>
        </w:tc>
        <w:tc>
          <w:tcPr>
            <w:tcW w:type="dxa" w:w="3293"/>
            <w:vAlign w:val="center"/>
            <w:tcMar>
              <w:top w:w="100" w:type="dxa"/>
              <w:start w:w="120" w:type="dxa"/>
              <w:bottom w:w="100" w:type="dxa"/>
              <w:end w:w="120" w:type="dxa"/>
            </w:tcMar>
            <w:shd w:fill="F8FAFC"/>
          </w:tcPr>
          <w:p>
            <w:r>
              <w:rPr>
                <w:rFonts w:ascii="Arial" w:hAnsi="Arial"/>
                <w:sz w:val="17"/>
              </w:rPr>
              <w:t>SDK wraps documented endpoints and never hides verdict errors.</w:t>
            </w:r>
          </w:p>
        </w:tc>
      </w:tr>
      <w:tr>
        <w:tc>
          <w:tcPr>
            <w:tcW w:type="dxa" w:w="3293"/>
            <w:vAlign w:val="center"/>
            <w:tcMar>
              <w:top w:w="100" w:type="dxa"/>
              <w:start w:w="120" w:type="dxa"/>
              <w:bottom w:w="100" w:type="dxa"/>
              <w:end w:w="120" w:type="dxa"/>
            </w:tcMar>
          </w:tcPr>
          <w:p>
            <w:r>
              <w:rPr>
                <w:rFonts w:ascii="Arial" w:hAnsi="Arial"/>
                <w:sz w:val="17"/>
              </w:rPr>
              <w:t>Alert system</w:t>
            </w:r>
          </w:p>
        </w:tc>
        <w:tc>
          <w:tcPr>
            <w:tcW w:type="dxa" w:w="3293"/>
            <w:vAlign w:val="center"/>
            <w:tcMar>
              <w:top w:w="100" w:type="dxa"/>
              <w:start w:w="120" w:type="dxa"/>
              <w:bottom w:w="100" w:type="dxa"/>
              <w:end w:w="120" w:type="dxa"/>
            </w:tcMar>
          </w:tcPr>
          <w:p>
            <w:r>
              <w:rPr>
                <w:rFonts w:ascii="Arial" w:hAnsi="Arial"/>
                <w:sz w:val="17"/>
              </w:rPr>
              <w:t>Carried forward as P1/P2.</w:t>
            </w:r>
          </w:p>
        </w:tc>
        <w:tc>
          <w:tcPr>
            <w:tcW w:type="dxa" w:w="3293"/>
            <w:vAlign w:val="center"/>
            <w:tcMar>
              <w:top w:w="100" w:type="dxa"/>
              <w:start w:w="120" w:type="dxa"/>
              <w:bottom w:w="100" w:type="dxa"/>
              <w:end w:w="120" w:type="dxa"/>
            </w:tcMar>
          </w:tcPr>
          <w:p>
            <w:r>
              <w:rPr>
                <w:rFonts w:ascii="Arial" w:hAnsi="Arial"/>
                <w:sz w:val="17"/>
              </w:rPr>
              <w:t>Severity events now; resolution workflow later.</w:t>
            </w:r>
          </w:p>
        </w:tc>
      </w:tr>
      <w:tr>
        <w:tc>
          <w:tcPr>
            <w:tcW w:type="dxa" w:w="3293"/>
            <w:vAlign w:val="center"/>
            <w:tcMar>
              <w:top w:w="100" w:type="dxa"/>
              <w:start w:w="120" w:type="dxa"/>
              <w:bottom w:w="100" w:type="dxa"/>
              <w:end w:w="120" w:type="dxa"/>
            </w:tcMar>
            <w:shd w:fill="F8FAFC"/>
          </w:tcPr>
          <w:p>
            <w:r>
              <w:rPr>
                <w:rFonts w:ascii="Arial" w:hAnsi="Arial"/>
                <w:sz w:val="17"/>
              </w:rPr>
              <w:t>Multiple specialist agents and vector store</w:t>
            </w:r>
          </w:p>
        </w:tc>
        <w:tc>
          <w:tcPr>
            <w:tcW w:type="dxa" w:w="3293"/>
            <w:vAlign w:val="center"/>
            <w:tcMar>
              <w:top w:w="100" w:type="dxa"/>
              <w:start w:w="120" w:type="dxa"/>
              <w:bottom w:w="100" w:type="dxa"/>
              <w:end w:w="120" w:type="dxa"/>
            </w:tcMar>
            <w:shd w:fill="F8FAFC"/>
          </w:tcPr>
          <w:p>
            <w:r>
              <w:rPr>
                <w:rFonts w:ascii="Arial" w:hAnsi="Arial"/>
                <w:sz w:val="17"/>
              </w:rPr>
              <w:t>Deferred to P2.</w:t>
            </w:r>
          </w:p>
        </w:tc>
        <w:tc>
          <w:tcPr>
            <w:tcW w:type="dxa" w:w="3293"/>
            <w:vAlign w:val="center"/>
            <w:tcMar>
              <w:top w:w="100" w:type="dxa"/>
              <w:start w:w="120" w:type="dxa"/>
              <w:bottom w:w="100" w:type="dxa"/>
              <w:end w:w="120" w:type="dxa"/>
            </w:tcMar>
            <w:shd w:fill="F8FAFC"/>
          </w:tcPr>
          <w:p>
            <w:r>
              <w:rPr>
                <w:rFonts w:ascii="Arial" w:hAnsi="Arial"/>
                <w:sz w:val="17"/>
              </w:rPr>
              <w:t>Not required for production core; can enrich threat context later.</w:t>
            </w:r>
          </w:p>
        </w:tc>
      </w:tr>
    </w:tbl>
    <w:p/>
    <w:p>
      <w:pPr>
        <w:pStyle w:val="Heading1"/>
      </w:pPr>
      <w:r>
        <w:t>10. Risks And Controls</w:t>
      </w:r>
    </w:p>
    <w:tbl>
      <w:tblPr>
        <w:tblStyle w:val="TableGrid"/>
        <w:tblW w:type="auto" w:w="0"/>
        <w:jc w:val="left"/>
        <w:tblLook w:firstColumn="1" w:firstRow="1" w:lastColumn="0" w:lastRow="0" w:noHBand="0" w:noVBand="1" w:val="04A0"/>
      </w:tblPr>
      <w:tblGrid>
        <w:gridCol w:w="4939"/>
        <w:gridCol w:w="4939"/>
      </w:tblGrid>
      <w:tr>
        <w:tc>
          <w:tcPr>
            <w:tcW w:type="dxa" w:w="4939"/>
            <w:vAlign w:val="center"/>
            <w:tcMar>
              <w:top w:w="100" w:type="dxa"/>
              <w:start w:w="120" w:type="dxa"/>
              <w:bottom w:w="100" w:type="dxa"/>
              <w:end w:w="120" w:type="dxa"/>
            </w:tcMar>
            <w:shd w:fill="1E3A8A"/>
          </w:tcPr>
          <w:p>
            <w:r>
              <w:rPr>
                <w:rFonts w:ascii="Arial" w:hAnsi="Arial"/>
                <w:b/>
                <w:color w:val="F8FAFC"/>
                <w:sz w:val="17"/>
              </w:rPr>
              <w:t>Risk</w:t>
            </w:r>
          </w:p>
        </w:tc>
        <w:tc>
          <w:tcPr>
            <w:tcW w:type="dxa" w:w="4939"/>
            <w:vAlign w:val="center"/>
            <w:tcMar>
              <w:top w:w="100" w:type="dxa"/>
              <w:start w:w="120" w:type="dxa"/>
              <w:bottom w:w="100" w:type="dxa"/>
              <w:end w:w="120" w:type="dxa"/>
            </w:tcMar>
            <w:shd w:fill="1E3A8A"/>
          </w:tcPr>
          <w:p>
            <w:r>
              <w:rPr>
                <w:rFonts w:ascii="Arial" w:hAnsi="Arial"/>
                <w:b/>
                <w:color w:val="F8FAFC"/>
                <w:sz w:val="17"/>
              </w:rPr>
              <w:t>Control</w:t>
            </w:r>
          </w:p>
        </w:tc>
      </w:tr>
      <w:tr>
        <w:tc>
          <w:tcPr>
            <w:tcW w:type="dxa" w:w="4939"/>
            <w:vAlign w:val="center"/>
            <w:tcMar>
              <w:top w:w="100" w:type="dxa"/>
              <w:start w:w="120" w:type="dxa"/>
              <w:bottom w:w="100" w:type="dxa"/>
              <w:end w:w="120" w:type="dxa"/>
            </w:tcMar>
          </w:tcPr>
          <w:p>
            <w:r>
              <w:rPr>
                <w:rFonts w:ascii="Arial" w:hAnsi="Arial"/>
                <w:sz w:val="17"/>
              </w:rPr>
              <w:t>LLM latency breaks protection path.</w:t>
            </w:r>
          </w:p>
        </w:tc>
        <w:tc>
          <w:tcPr>
            <w:tcW w:type="dxa" w:w="4939"/>
            <w:vAlign w:val="center"/>
            <w:tcMar>
              <w:top w:w="100" w:type="dxa"/>
              <w:start w:w="120" w:type="dxa"/>
              <w:bottom w:w="100" w:type="dxa"/>
              <w:end w:w="120" w:type="dxa"/>
            </w:tcMar>
          </w:tcPr>
          <w:p>
            <w:r>
              <w:rPr>
                <w:rFonts w:ascii="Arial" w:hAnsi="Arial"/>
                <w:sz w:val="17"/>
              </w:rPr>
              <w:t>Keep synchronous protection deterministic; enqueue enrichment.</w:t>
            </w:r>
          </w:p>
        </w:tc>
      </w:tr>
      <w:tr>
        <w:tc>
          <w:tcPr>
            <w:tcW w:type="dxa" w:w="4939"/>
            <w:vAlign w:val="center"/>
            <w:tcMar>
              <w:top w:w="100" w:type="dxa"/>
              <w:start w:w="120" w:type="dxa"/>
              <w:bottom w:w="100" w:type="dxa"/>
              <w:end w:w="120" w:type="dxa"/>
            </w:tcMar>
            <w:shd w:fill="F8FAFC"/>
          </w:tcPr>
          <w:p>
            <w:r>
              <w:rPr>
                <w:rFonts w:ascii="Arial" w:hAnsi="Arial"/>
                <w:sz w:val="17"/>
              </w:rPr>
              <w:t>Ledger race conditions break hash chain.</w:t>
            </w:r>
          </w:p>
        </w:tc>
        <w:tc>
          <w:tcPr>
            <w:tcW w:type="dxa" w:w="4939"/>
            <w:vAlign w:val="center"/>
            <w:tcMar>
              <w:top w:w="100" w:type="dxa"/>
              <w:start w:w="120" w:type="dxa"/>
              <w:bottom w:w="100" w:type="dxa"/>
              <w:end w:w="120" w:type="dxa"/>
            </w:tcMar>
            <w:shd w:fill="F8FAFC"/>
          </w:tcPr>
          <w:p>
            <w:r>
              <w:rPr>
                <w:rFonts w:ascii="Arial" w:hAnsi="Arial"/>
                <w:sz w:val="17"/>
              </w:rPr>
              <w:t>Use serializable transaction or advisory lock for append; test concurrent writes.</w:t>
            </w:r>
          </w:p>
        </w:tc>
      </w:tr>
      <w:tr>
        <w:tc>
          <w:tcPr>
            <w:tcW w:type="dxa" w:w="4939"/>
            <w:vAlign w:val="center"/>
            <w:tcMar>
              <w:top w:w="100" w:type="dxa"/>
              <w:start w:w="120" w:type="dxa"/>
              <w:bottom w:w="100" w:type="dxa"/>
              <w:end w:w="120" w:type="dxa"/>
            </w:tcMar>
          </w:tcPr>
          <w:p>
            <w:r>
              <w:rPr>
                <w:rFonts w:ascii="Arial" w:hAnsi="Arial"/>
                <w:sz w:val="17"/>
              </w:rPr>
              <w:t>API key or JWT leakage.</w:t>
            </w:r>
          </w:p>
        </w:tc>
        <w:tc>
          <w:tcPr>
            <w:tcW w:type="dxa" w:w="4939"/>
            <w:vAlign w:val="center"/>
            <w:tcMar>
              <w:top w:w="100" w:type="dxa"/>
              <w:start w:w="120" w:type="dxa"/>
              <w:bottom w:w="100" w:type="dxa"/>
              <w:end w:w="120" w:type="dxa"/>
            </w:tcMar>
          </w:tcPr>
          <w:p>
            <w:r>
              <w:rPr>
                <w:rFonts w:ascii="Arial" w:hAnsi="Arial"/>
                <w:sz w:val="17"/>
              </w:rPr>
              <w:t>Hash API keys at rest, short-lived agent tokens, revocation, rotation, scoped permissions.</w:t>
            </w:r>
          </w:p>
        </w:tc>
      </w:tr>
      <w:tr>
        <w:tc>
          <w:tcPr>
            <w:tcW w:type="dxa" w:w="4939"/>
            <w:vAlign w:val="center"/>
            <w:tcMar>
              <w:top w:w="100" w:type="dxa"/>
              <w:start w:w="120" w:type="dxa"/>
              <w:bottom w:w="100" w:type="dxa"/>
              <w:end w:w="120" w:type="dxa"/>
            </w:tcMar>
            <w:shd w:fill="F8FAFC"/>
          </w:tcPr>
          <w:p>
            <w:r>
              <w:rPr>
                <w:rFonts w:ascii="Arial" w:hAnsi="Arial"/>
                <w:sz w:val="17"/>
              </w:rPr>
              <w:t>Dashboard becomes visual-only demo.</w:t>
            </w:r>
          </w:p>
        </w:tc>
        <w:tc>
          <w:tcPr>
            <w:tcW w:type="dxa" w:w="4939"/>
            <w:vAlign w:val="center"/>
            <w:tcMar>
              <w:top w:w="100" w:type="dxa"/>
              <w:start w:w="120" w:type="dxa"/>
              <w:bottom w:w="100" w:type="dxa"/>
              <w:end w:w="120" w:type="dxa"/>
            </w:tcMar>
            <w:shd w:fill="F8FAFC"/>
          </w:tcPr>
          <w:p>
            <w:r>
              <w:rPr>
                <w:rFonts w:ascii="Arial" w:hAnsi="Arial"/>
                <w:sz w:val="17"/>
              </w:rPr>
              <w:t>All dashboard components must bind to real API contracts or documented fixtures from the backend.</w:t>
            </w:r>
          </w:p>
        </w:tc>
      </w:tr>
      <w:tr>
        <w:tc>
          <w:tcPr>
            <w:tcW w:type="dxa" w:w="4939"/>
            <w:vAlign w:val="center"/>
            <w:tcMar>
              <w:top w:w="100" w:type="dxa"/>
              <w:start w:w="120" w:type="dxa"/>
              <w:bottom w:w="100" w:type="dxa"/>
              <w:end w:w="120" w:type="dxa"/>
            </w:tcMar>
          </w:tcPr>
          <w:p>
            <w:r>
              <w:rPr>
                <w:rFonts w:ascii="Arial" w:hAnsi="Arial"/>
                <w:sz w:val="17"/>
              </w:rPr>
              <w:t>Overbroad agent permissions.</w:t>
            </w:r>
          </w:p>
        </w:tc>
        <w:tc>
          <w:tcPr>
            <w:tcW w:type="dxa" w:w="4939"/>
            <w:vAlign w:val="center"/>
            <w:tcMar>
              <w:top w:w="100" w:type="dxa"/>
              <w:start w:w="120" w:type="dxa"/>
              <w:bottom w:w="100" w:type="dxa"/>
              <w:end w:w="120" w:type="dxa"/>
            </w:tcMar>
          </w:tcPr>
          <w:p>
            <w:r>
              <w:rPr>
                <w:rFonts w:ascii="Arial" w:hAnsi="Arial"/>
                <w:sz w:val="17"/>
              </w:rPr>
              <w:t>Deny by default; require explicit manifest actions; surface risky manifests in UI.</w:t>
            </w:r>
          </w:p>
        </w:tc>
      </w:tr>
    </w:tbl>
    <w:p/>
    <w:sectPr w:rsidR="00FC693F" w:rsidRPr="0006063C" w:rsidSect="00034616">
      <w:footerReference w:type="default" r:id="rId9"/>
      <w:pgSz w:w="12240" w:h="15840"/>
      <w:pgMar w:top="1152" w:right="1181" w:bottom="1080"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AgentShield Master Production Plan | AgentShield Production Documentation Pack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1E3A8A"/>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37415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