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172A"/>
          <w:sz w:val="48"/>
        </w:rPr>
        <w:t>AgentShield Security Threat Model</w:t>
      </w:r>
    </w:p>
    <w:p>
      <w:pPr>
        <w:jc w:val="left"/>
      </w:pPr>
      <w:r>
        <w:rPr>
          <w:rFonts w:ascii="Arial" w:hAnsi="Arial"/>
          <w:color w:val="475569"/>
          <w:sz w:val="22"/>
        </w:rPr>
        <w:t>Trust boundaries, abuse cases, mitigations, ledger guarantees, auth model, and residual risks.</w:t>
      </w:r>
    </w:p>
    <w:p>
      <w:r>
        <w:rPr>
          <w:rFonts w:ascii="Arial" w:hAnsi="Arial"/>
          <w:color w:val="64748B"/>
          <w:sz w:val="18"/>
        </w:rPr>
        <w:t>Production documentation pack | Version 1.0 | 2026-05-29</w:t>
      </w:r>
    </w:p>
    <w:p>
      <w:pPr>
        <w:pStyle w:val="Heading1"/>
      </w:pPr>
      <w:r>
        <w:t>1. Security Objective</w:t>
      </w:r>
    </w:p>
    <w:p>
      <w:r>
        <w:t>AgentShield protects autonomous agent systems from malicious instructions, identity spoofing, unauthorized tool use, and unverifiable behavior. It is a guardrail and audit layer, not a sandbox or full execution isolation system.</w:t>
      </w:r>
    </w:p>
    <w:p>
      <w:pPr>
        <w:pStyle w:val="Heading1"/>
      </w:pPr>
      <w:r>
        <w:t>2. Trust Boundaries</w:t>
      </w:r>
    </w:p>
    <w:tbl>
      <w:tblPr>
        <w:tblStyle w:val="TableGrid"/>
        <w:tblW w:type="auto" w:w="0"/>
        <w:jc w:val="left"/>
        <w:tblLook w:firstColumn="1" w:firstRow="1" w:lastColumn="0" w:lastRow="0" w:noHBand="0" w:noVBand="1" w:val="04A0"/>
      </w:tblPr>
      <w:tblGrid>
        <w:gridCol w:w="2469"/>
        <w:gridCol w:w="2469"/>
        <w:gridCol w:w="2469"/>
        <w:gridCol w:w="2469"/>
      </w:tblGrid>
      <w:tr>
        <w:tc>
          <w:tcPr>
            <w:tcW w:type="dxa" w:w="2469"/>
            <w:vAlign w:val="center"/>
            <w:tcMar>
              <w:top w:w="100" w:type="dxa"/>
              <w:start w:w="120" w:type="dxa"/>
              <w:bottom w:w="100" w:type="dxa"/>
              <w:end w:w="120" w:type="dxa"/>
            </w:tcMar>
            <w:shd w:fill="1E3A8A"/>
          </w:tcPr>
          <w:p>
            <w:r>
              <w:rPr>
                <w:rFonts w:ascii="Arial" w:hAnsi="Arial"/>
                <w:b/>
                <w:color w:val="F8FAFC"/>
                <w:sz w:val="17"/>
              </w:rPr>
              <w:t>Boundary</w:t>
            </w:r>
          </w:p>
        </w:tc>
        <w:tc>
          <w:tcPr>
            <w:tcW w:type="dxa" w:w="2469"/>
            <w:vAlign w:val="center"/>
            <w:tcMar>
              <w:top w:w="100" w:type="dxa"/>
              <w:start w:w="120" w:type="dxa"/>
              <w:bottom w:w="100" w:type="dxa"/>
              <w:end w:w="120" w:type="dxa"/>
            </w:tcMar>
            <w:shd w:fill="1E3A8A"/>
          </w:tcPr>
          <w:p>
            <w:r>
              <w:rPr>
                <w:rFonts w:ascii="Arial" w:hAnsi="Arial"/>
                <w:b/>
                <w:color w:val="F8FAFC"/>
                <w:sz w:val="17"/>
              </w:rPr>
              <w:t>Trusted Side</w:t>
            </w:r>
          </w:p>
        </w:tc>
        <w:tc>
          <w:tcPr>
            <w:tcW w:type="dxa" w:w="2469"/>
            <w:vAlign w:val="center"/>
            <w:tcMar>
              <w:top w:w="100" w:type="dxa"/>
              <w:start w:w="120" w:type="dxa"/>
              <w:bottom w:w="100" w:type="dxa"/>
              <w:end w:w="120" w:type="dxa"/>
            </w:tcMar>
            <w:shd w:fill="1E3A8A"/>
          </w:tcPr>
          <w:p>
            <w:r>
              <w:rPr>
                <w:rFonts w:ascii="Arial" w:hAnsi="Arial"/>
                <w:b/>
                <w:color w:val="F8FAFC"/>
                <w:sz w:val="17"/>
              </w:rPr>
              <w:t>Untrusted Side</w:t>
            </w:r>
          </w:p>
        </w:tc>
        <w:tc>
          <w:tcPr>
            <w:tcW w:type="dxa" w:w="2469"/>
            <w:vAlign w:val="center"/>
            <w:tcMar>
              <w:top w:w="100" w:type="dxa"/>
              <w:start w:w="120" w:type="dxa"/>
              <w:bottom w:w="100" w:type="dxa"/>
              <w:end w:w="120" w:type="dxa"/>
            </w:tcMar>
            <w:shd w:fill="1E3A8A"/>
          </w:tcPr>
          <w:p>
            <w:r>
              <w:rPr>
                <w:rFonts w:ascii="Arial" w:hAnsi="Arial"/>
                <w:b/>
                <w:color w:val="F8FAFC"/>
                <w:sz w:val="17"/>
              </w:rPr>
              <w:t>Controls</w:t>
            </w:r>
          </w:p>
        </w:tc>
      </w:tr>
      <w:tr>
        <w:tc>
          <w:tcPr>
            <w:tcW w:type="dxa" w:w="2469"/>
            <w:vAlign w:val="center"/>
            <w:tcMar>
              <w:top w:w="100" w:type="dxa"/>
              <w:start w:w="120" w:type="dxa"/>
              <w:bottom w:w="100" w:type="dxa"/>
              <w:end w:w="120" w:type="dxa"/>
            </w:tcMar>
          </w:tcPr>
          <w:p>
            <w:r>
              <w:rPr>
                <w:rFonts w:ascii="Arial" w:hAnsi="Arial"/>
                <w:sz w:val="17"/>
              </w:rPr>
              <w:t>Client to AgentShield API</w:t>
            </w:r>
          </w:p>
        </w:tc>
        <w:tc>
          <w:tcPr>
            <w:tcW w:type="dxa" w:w="2469"/>
            <w:vAlign w:val="center"/>
            <w:tcMar>
              <w:top w:w="100" w:type="dxa"/>
              <w:start w:w="120" w:type="dxa"/>
              <w:bottom w:w="100" w:type="dxa"/>
              <w:end w:w="120" w:type="dxa"/>
            </w:tcMar>
          </w:tcPr>
          <w:p>
            <w:r>
              <w:rPr>
                <w:rFonts w:ascii="Arial" w:hAnsi="Arial"/>
                <w:sz w:val="17"/>
              </w:rPr>
              <w:t>AgentShield backend</w:t>
            </w:r>
          </w:p>
        </w:tc>
        <w:tc>
          <w:tcPr>
            <w:tcW w:type="dxa" w:w="2469"/>
            <w:vAlign w:val="center"/>
            <w:tcMar>
              <w:top w:w="100" w:type="dxa"/>
              <w:start w:w="120" w:type="dxa"/>
              <w:bottom w:w="100" w:type="dxa"/>
              <w:end w:w="120" w:type="dxa"/>
            </w:tcMar>
          </w:tcPr>
          <w:p>
            <w:r>
              <w:rPr>
                <w:rFonts w:ascii="Arial" w:hAnsi="Arial"/>
                <w:sz w:val="17"/>
              </w:rPr>
              <w:t>SDK callers, browsers, external services</w:t>
            </w:r>
          </w:p>
        </w:tc>
        <w:tc>
          <w:tcPr>
            <w:tcW w:type="dxa" w:w="2469"/>
            <w:vAlign w:val="center"/>
            <w:tcMar>
              <w:top w:w="100" w:type="dxa"/>
              <w:start w:w="120" w:type="dxa"/>
              <w:bottom w:w="100" w:type="dxa"/>
              <w:end w:w="120" w:type="dxa"/>
            </w:tcMar>
          </w:tcPr>
          <w:p>
            <w:r>
              <w:rPr>
                <w:rFonts w:ascii="Arial" w:hAnsi="Arial"/>
                <w:sz w:val="17"/>
              </w:rPr>
              <w:t>API key auth, TLS, rate limits, body limits, request logging.</w:t>
            </w:r>
          </w:p>
        </w:tc>
      </w:tr>
      <w:tr>
        <w:tc>
          <w:tcPr>
            <w:tcW w:type="dxa" w:w="2469"/>
            <w:vAlign w:val="center"/>
            <w:tcMar>
              <w:top w:w="100" w:type="dxa"/>
              <w:start w:w="120" w:type="dxa"/>
              <w:bottom w:w="100" w:type="dxa"/>
              <w:end w:w="120" w:type="dxa"/>
            </w:tcMar>
            <w:shd w:fill="F8FAFC"/>
          </w:tcPr>
          <w:p>
            <w:r>
              <w:rPr>
                <w:rFonts w:ascii="Arial" w:hAnsi="Arial"/>
                <w:sz w:val="17"/>
              </w:rPr>
              <w:t>Agent identity</w:t>
            </w:r>
          </w:p>
        </w:tc>
        <w:tc>
          <w:tcPr>
            <w:tcW w:type="dxa" w:w="2469"/>
            <w:vAlign w:val="center"/>
            <w:tcMar>
              <w:top w:w="100" w:type="dxa"/>
              <w:start w:w="120" w:type="dxa"/>
              <w:bottom w:w="100" w:type="dxa"/>
              <w:end w:w="120" w:type="dxa"/>
            </w:tcMar>
            <w:shd w:fill="F8FAFC"/>
          </w:tcPr>
          <w:p>
            <w:r>
              <w:rPr>
                <w:rFonts w:ascii="Arial" w:hAnsi="Arial"/>
                <w:sz w:val="17"/>
              </w:rPr>
              <w:t>JWT issuer and verifier</w:t>
            </w:r>
          </w:p>
        </w:tc>
        <w:tc>
          <w:tcPr>
            <w:tcW w:type="dxa" w:w="2469"/>
            <w:vAlign w:val="center"/>
            <w:tcMar>
              <w:top w:w="100" w:type="dxa"/>
              <w:start w:w="120" w:type="dxa"/>
              <w:bottom w:w="100" w:type="dxa"/>
              <w:end w:w="120" w:type="dxa"/>
            </w:tcMar>
            <w:shd w:fill="F8FAFC"/>
          </w:tcPr>
          <w:p>
            <w:r>
              <w:rPr>
                <w:rFonts w:ascii="Arial" w:hAnsi="Arial"/>
                <w:sz w:val="17"/>
              </w:rPr>
              <w:t>Agent runtime, copied tokens, forged IDs</w:t>
            </w:r>
          </w:p>
        </w:tc>
        <w:tc>
          <w:tcPr>
            <w:tcW w:type="dxa" w:w="2469"/>
            <w:vAlign w:val="center"/>
            <w:tcMar>
              <w:top w:w="100" w:type="dxa"/>
              <w:start w:w="120" w:type="dxa"/>
              <w:bottom w:w="100" w:type="dxa"/>
              <w:end w:w="120" w:type="dxa"/>
            </w:tcMar>
            <w:shd w:fill="F8FAFC"/>
          </w:tcPr>
          <w:p>
            <w:r>
              <w:rPr>
                <w:rFonts w:ascii="Arial" w:hAnsi="Arial"/>
                <w:sz w:val="17"/>
              </w:rPr>
              <w:t>RS256 signatures, jti registry, short expiry, revocation.</w:t>
            </w:r>
          </w:p>
        </w:tc>
      </w:tr>
      <w:tr>
        <w:tc>
          <w:tcPr>
            <w:tcW w:type="dxa" w:w="2469"/>
            <w:vAlign w:val="center"/>
            <w:tcMar>
              <w:top w:w="100" w:type="dxa"/>
              <w:start w:w="120" w:type="dxa"/>
              <w:bottom w:w="100" w:type="dxa"/>
              <w:end w:w="120" w:type="dxa"/>
            </w:tcMar>
          </w:tcPr>
          <w:p>
            <w:r>
              <w:rPr>
                <w:rFonts w:ascii="Arial" w:hAnsi="Arial"/>
                <w:sz w:val="17"/>
              </w:rPr>
              <w:t>Tool execution</w:t>
            </w:r>
          </w:p>
        </w:tc>
        <w:tc>
          <w:tcPr>
            <w:tcW w:type="dxa" w:w="2469"/>
            <w:vAlign w:val="center"/>
            <w:tcMar>
              <w:top w:w="100" w:type="dxa"/>
              <w:start w:w="120" w:type="dxa"/>
              <w:bottom w:w="100" w:type="dxa"/>
              <w:end w:w="120" w:type="dxa"/>
            </w:tcMar>
          </w:tcPr>
          <w:p>
            <w:r>
              <w:rPr>
                <w:rFonts w:ascii="Arial" w:hAnsi="Arial"/>
                <w:sz w:val="17"/>
              </w:rPr>
              <w:t>Permission engine</w:t>
            </w:r>
          </w:p>
        </w:tc>
        <w:tc>
          <w:tcPr>
            <w:tcW w:type="dxa" w:w="2469"/>
            <w:vAlign w:val="center"/>
            <w:tcMar>
              <w:top w:w="100" w:type="dxa"/>
              <w:start w:w="120" w:type="dxa"/>
              <w:bottom w:w="100" w:type="dxa"/>
              <w:end w:w="120" w:type="dxa"/>
            </w:tcMar>
          </w:tcPr>
          <w:p>
            <w:r>
              <w:rPr>
                <w:rFonts w:ascii="Arial" w:hAnsi="Arial"/>
                <w:sz w:val="17"/>
              </w:rPr>
              <w:t>Agent-requested tool name/action/arguments</w:t>
            </w:r>
          </w:p>
        </w:tc>
        <w:tc>
          <w:tcPr>
            <w:tcW w:type="dxa" w:w="2469"/>
            <w:vAlign w:val="center"/>
            <w:tcMar>
              <w:top w:w="100" w:type="dxa"/>
              <w:start w:w="120" w:type="dxa"/>
              <w:bottom w:w="100" w:type="dxa"/>
              <w:end w:w="120" w:type="dxa"/>
            </w:tcMar>
          </w:tcPr>
          <w:p>
            <w:r>
              <w:rPr>
                <w:rFonts w:ascii="Arial" w:hAnsi="Arial"/>
                <w:sz w:val="17"/>
              </w:rPr>
              <w:t>Deny-by-default manifest, server-side check before execution.</w:t>
            </w:r>
          </w:p>
        </w:tc>
      </w:tr>
      <w:tr>
        <w:tc>
          <w:tcPr>
            <w:tcW w:type="dxa" w:w="2469"/>
            <w:vAlign w:val="center"/>
            <w:tcMar>
              <w:top w:w="100" w:type="dxa"/>
              <w:start w:w="120" w:type="dxa"/>
              <w:bottom w:w="100" w:type="dxa"/>
              <w:end w:w="120" w:type="dxa"/>
            </w:tcMar>
            <w:shd w:fill="F8FAFC"/>
          </w:tcPr>
          <w:p>
            <w:r>
              <w:rPr>
                <w:rFonts w:ascii="Arial" w:hAnsi="Arial"/>
                <w:sz w:val="17"/>
              </w:rPr>
              <w:t>Ledger</w:t>
            </w:r>
          </w:p>
        </w:tc>
        <w:tc>
          <w:tcPr>
            <w:tcW w:type="dxa" w:w="2469"/>
            <w:vAlign w:val="center"/>
            <w:tcMar>
              <w:top w:w="100" w:type="dxa"/>
              <w:start w:w="120" w:type="dxa"/>
              <w:bottom w:w="100" w:type="dxa"/>
              <w:end w:w="120" w:type="dxa"/>
            </w:tcMar>
            <w:shd w:fill="F8FAFC"/>
          </w:tcPr>
          <w:p>
            <w:r>
              <w:rPr>
                <w:rFonts w:ascii="Arial" w:hAnsi="Arial"/>
                <w:sz w:val="17"/>
              </w:rPr>
              <w:t>Append transaction and verifier</w:t>
            </w:r>
          </w:p>
        </w:tc>
        <w:tc>
          <w:tcPr>
            <w:tcW w:type="dxa" w:w="2469"/>
            <w:vAlign w:val="center"/>
            <w:tcMar>
              <w:top w:w="100" w:type="dxa"/>
              <w:start w:w="120" w:type="dxa"/>
              <w:bottom w:w="100" w:type="dxa"/>
              <w:end w:w="120" w:type="dxa"/>
            </w:tcMar>
            <w:shd w:fill="F8FAFC"/>
          </w:tcPr>
          <w:p>
            <w:r>
              <w:rPr>
                <w:rFonts w:ascii="Arial" w:hAnsi="Arial"/>
                <w:sz w:val="17"/>
              </w:rPr>
              <w:t>Application bugs, operators, compromised clients</w:t>
            </w:r>
          </w:p>
        </w:tc>
        <w:tc>
          <w:tcPr>
            <w:tcW w:type="dxa" w:w="2469"/>
            <w:vAlign w:val="center"/>
            <w:tcMar>
              <w:top w:w="100" w:type="dxa"/>
              <w:start w:w="120" w:type="dxa"/>
              <w:bottom w:w="100" w:type="dxa"/>
              <w:end w:w="120" w:type="dxa"/>
            </w:tcMar>
            <w:shd w:fill="F8FAFC"/>
          </w:tcPr>
          <w:p>
            <w:r>
              <w:rPr>
                <w:rFonts w:ascii="Arial" w:hAnsi="Arial"/>
                <w:sz w:val="17"/>
              </w:rPr>
              <w:t>DB role separation, mutation trigger, hash chain, backups.</w:t>
            </w:r>
          </w:p>
        </w:tc>
      </w:tr>
      <w:tr>
        <w:tc>
          <w:tcPr>
            <w:tcW w:type="dxa" w:w="2469"/>
            <w:vAlign w:val="center"/>
            <w:tcMar>
              <w:top w:w="100" w:type="dxa"/>
              <w:start w:w="120" w:type="dxa"/>
              <w:bottom w:w="100" w:type="dxa"/>
              <w:end w:w="120" w:type="dxa"/>
            </w:tcMar>
          </w:tcPr>
          <w:p>
            <w:r>
              <w:rPr>
                <w:rFonts w:ascii="Arial" w:hAnsi="Arial"/>
                <w:sz w:val="17"/>
              </w:rPr>
              <w:t>LLM enrichment</w:t>
            </w:r>
          </w:p>
        </w:tc>
        <w:tc>
          <w:tcPr>
            <w:tcW w:type="dxa" w:w="2469"/>
            <w:vAlign w:val="center"/>
            <w:tcMar>
              <w:top w:w="100" w:type="dxa"/>
              <w:start w:w="120" w:type="dxa"/>
              <w:bottom w:w="100" w:type="dxa"/>
              <w:end w:w="120" w:type="dxa"/>
            </w:tcMar>
          </w:tcPr>
          <w:p>
            <w:r>
              <w:rPr>
                <w:rFonts w:ascii="Arial" w:hAnsi="Arial"/>
                <w:sz w:val="17"/>
              </w:rPr>
              <w:t>Deterministic verdict already made</w:t>
            </w:r>
          </w:p>
        </w:tc>
        <w:tc>
          <w:tcPr>
            <w:tcW w:type="dxa" w:w="2469"/>
            <w:vAlign w:val="center"/>
            <w:tcMar>
              <w:top w:w="100" w:type="dxa"/>
              <w:start w:w="120" w:type="dxa"/>
              <w:bottom w:w="100" w:type="dxa"/>
              <w:end w:w="120" w:type="dxa"/>
            </w:tcMar>
          </w:tcPr>
          <w:p>
            <w:r>
              <w:rPr>
                <w:rFonts w:ascii="Arial" w:hAnsi="Arial"/>
                <w:sz w:val="17"/>
              </w:rPr>
              <w:t>Model output and external retrieved context</w:t>
            </w:r>
          </w:p>
        </w:tc>
        <w:tc>
          <w:tcPr>
            <w:tcW w:type="dxa" w:w="2469"/>
            <w:vAlign w:val="center"/>
            <w:tcMar>
              <w:top w:w="100" w:type="dxa"/>
              <w:start w:w="120" w:type="dxa"/>
              <w:bottom w:w="100" w:type="dxa"/>
              <w:end w:w="120" w:type="dxa"/>
            </w:tcMar>
          </w:tcPr>
          <w:p>
            <w:r>
              <w:rPr>
                <w:rFonts w:ascii="Arial" w:hAnsi="Arial"/>
                <w:sz w:val="17"/>
              </w:rPr>
              <w:t>Async processing, schema validation, no authority to override blocking decision automatically.</w:t>
            </w:r>
          </w:p>
        </w:tc>
      </w:tr>
    </w:tbl>
    <w:p/>
    <w:p>
      <w:pPr>
        <w:pStyle w:val="Heading1"/>
      </w:pPr>
      <w:r>
        <w:t>3. Primary Threats</w:t>
      </w:r>
    </w:p>
    <w:tbl>
      <w:tblPr>
        <w:tblStyle w:val="TableGrid"/>
        <w:tblW w:type="auto" w:w="0"/>
        <w:jc w:val="left"/>
        <w:tblLook w:firstColumn="1" w:firstRow="1" w:lastColumn="0" w:lastRow="0" w:noHBand="0" w:noVBand="1" w:val="04A0"/>
      </w:tblPr>
      <w:tblGrid>
        <w:gridCol w:w="2469"/>
        <w:gridCol w:w="2469"/>
        <w:gridCol w:w="2469"/>
        <w:gridCol w:w="2469"/>
      </w:tblGrid>
      <w:tr>
        <w:tc>
          <w:tcPr>
            <w:tcW w:type="dxa" w:w="2469"/>
            <w:vAlign w:val="center"/>
            <w:tcMar>
              <w:top w:w="100" w:type="dxa"/>
              <w:start w:w="120" w:type="dxa"/>
              <w:bottom w:w="100" w:type="dxa"/>
              <w:end w:w="120" w:type="dxa"/>
            </w:tcMar>
            <w:shd w:fill="1E3A8A"/>
          </w:tcPr>
          <w:p>
            <w:r>
              <w:rPr>
                <w:rFonts w:ascii="Arial" w:hAnsi="Arial"/>
                <w:b/>
                <w:color w:val="F8FAFC"/>
                <w:sz w:val="17"/>
              </w:rPr>
              <w:t>Threat</w:t>
            </w:r>
          </w:p>
        </w:tc>
        <w:tc>
          <w:tcPr>
            <w:tcW w:type="dxa" w:w="2469"/>
            <w:vAlign w:val="center"/>
            <w:tcMar>
              <w:top w:w="100" w:type="dxa"/>
              <w:start w:w="120" w:type="dxa"/>
              <w:bottom w:w="100" w:type="dxa"/>
              <w:end w:w="120" w:type="dxa"/>
            </w:tcMar>
            <w:shd w:fill="1E3A8A"/>
          </w:tcPr>
          <w:p>
            <w:r>
              <w:rPr>
                <w:rFonts w:ascii="Arial" w:hAnsi="Arial"/>
                <w:b/>
                <w:color w:val="F8FAFC"/>
                <w:sz w:val="17"/>
              </w:rPr>
              <w:t>Attack Example</w:t>
            </w:r>
          </w:p>
        </w:tc>
        <w:tc>
          <w:tcPr>
            <w:tcW w:type="dxa" w:w="2469"/>
            <w:vAlign w:val="center"/>
            <w:tcMar>
              <w:top w:w="100" w:type="dxa"/>
              <w:start w:w="120" w:type="dxa"/>
              <w:bottom w:w="100" w:type="dxa"/>
              <w:end w:w="120" w:type="dxa"/>
            </w:tcMar>
            <w:shd w:fill="1E3A8A"/>
          </w:tcPr>
          <w:p>
            <w:r>
              <w:rPr>
                <w:rFonts w:ascii="Arial" w:hAnsi="Arial"/>
                <w:b/>
                <w:color w:val="F8FAFC"/>
                <w:sz w:val="17"/>
              </w:rPr>
              <w:t>Mitigation</w:t>
            </w:r>
          </w:p>
        </w:tc>
        <w:tc>
          <w:tcPr>
            <w:tcW w:type="dxa" w:w="2469"/>
            <w:vAlign w:val="center"/>
            <w:tcMar>
              <w:top w:w="100" w:type="dxa"/>
              <w:start w:w="120" w:type="dxa"/>
              <w:bottom w:w="100" w:type="dxa"/>
              <w:end w:w="120" w:type="dxa"/>
            </w:tcMar>
            <w:shd w:fill="1E3A8A"/>
          </w:tcPr>
          <w:p>
            <w:r>
              <w:rPr>
                <w:rFonts w:ascii="Arial" w:hAnsi="Arial"/>
                <w:b/>
                <w:color w:val="F8FAFC"/>
                <w:sz w:val="17"/>
              </w:rPr>
              <w:t>Residual Risk</w:t>
            </w:r>
          </w:p>
        </w:tc>
      </w:tr>
      <w:tr>
        <w:tc>
          <w:tcPr>
            <w:tcW w:type="dxa" w:w="2469"/>
            <w:vAlign w:val="center"/>
            <w:tcMar>
              <w:top w:w="100" w:type="dxa"/>
              <w:start w:w="120" w:type="dxa"/>
              <w:bottom w:w="100" w:type="dxa"/>
              <w:end w:w="120" w:type="dxa"/>
            </w:tcMar>
          </w:tcPr>
          <w:p>
            <w:r>
              <w:rPr>
                <w:rFonts w:ascii="Arial" w:hAnsi="Arial"/>
                <w:sz w:val="17"/>
              </w:rPr>
              <w:t>Prompt injection</w:t>
            </w:r>
          </w:p>
        </w:tc>
        <w:tc>
          <w:tcPr>
            <w:tcW w:type="dxa" w:w="2469"/>
            <w:vAlign w:val="center"/>
            <w:tcMar>
              <w:top w:w="100" w:type="dxa"/>
              <w:start w:w="120" w:type="dxa"/>
              <w:bottom w:w="100" w:type="dxa"/>
              <w:end w:w="120" w:type="dxa"/>
            </w:tcMar>
          </w:tcPr>
          <w:p>
            <w:r>
              <w:rPr>
                <w:rFonts w:ascii="Arial" w:hAnsi="Arial"/>
                <w:sz w:val="17"/>
              </w:rPr>
              <w:t>User asks agent to ignore prior instructions or reveal secrets.</w:t>
            </w:r>
          </w:p>
        </w:tc>
        <w:tc>
          <w:tcPr>
            <w:tcW w:type="dxa" w:w="2469"/>
            <w:vAlign w:val="center"/>
            <w:tcMar>
              <w:top w:w="100" w:type="dxa"/>
              <w:start w:w="120" w:type="dxa"/>
              <w:bottom w:w="100" w:type="dxa"/>
              <w:end w:w="120" w:type="dxa"/>
            </w:tcMar>
          </w:tcPr>
          <w:p>
            <w:r>
              <w:rPr>
                <w:rFonts w:ascii="Arial" w:hAnsi="Arial"/>
                <w:sz w:val="17"/>
              </w:rPr>
              <w:t>Pattern classifier, semantic enrichment, block high-confidence signatures, evidence capture.</w:t>
            </w:r>
          </w:p>
        </w:tc>
        <w:tc>
          <w:tcPr>
            <w:tcW w:type="dxa" w:w="2469"/>
            <w:vAlign w:val="center"/>
            <w:tcMar>
              <w:top w:w="100" w:type="dxa"/>
              <w:start w:w="120" w:type="dxa"/>
              <w:bottom w:w="100" w:type="dxa"/>
              <w:end w:w="120" w:type="dxa"/>
            </w:tcMar>
          </w:tcPr>
          <w:p>
            <w:r>
              <w:rPr>
                <w:rFonts w:ascii="Arial" w:hAnsi="Arial"/>
                <w:sz w:val="17"/>
              </w:rPr>
              <w:t>Novel attacks can evade patterns; dataset must evolve.</w:t>
            </w:r>
          </w:p>
        </w:tc>
      </w:tr>
      <w:tr>
        <w:tc>
          <w:tcPr>
            <w:tcW w:type="dxa" w:w="2469"/>
            <w:vAlign w:val="center"/>
            <w:tcMar>
              <w:top w:w="100" w:type="dxa"/>
              <w:start w:w="120" w:type="dxa"/>
              <w:bottom w:w="100" w:type="dxa"/>
              <w:end w:w="120" w:type="dxa"/>
            </w:tcMar>
            <w:shd w:fill="F8FAFC"/>
          </w:tcPr>
          <w:p>
            <w:r>
              <w:rPr>
                <w:rFonts w:ascii="Arial" w:hAnsi="Arial"/>
                <w:sz w:val="17"/>
              </w:rPr>
              <w:t>Identity spoofing</w:t>
            </w:r>
          </w:p>
        </w:tc>
        <w:tc>
          <w:tcPr>
            <w:tcW w:type="dxa" w:w="2469"/>
            <w:vAlign w:val="center"/>
            <w:tcMar>
              <w:top w:w="100" w:type="dxa"/>
              <w:start w:w="120" w:type="dxa"/>
              <w:bottom w:w="100" w:type="dxa"/>
              <w:end w:w="120" w:type="dxa"/>
            </w:tcMar>
            <w:shd w:fill="F8FAFC"/>
          </w:tcPr>
          <w:p>
            <w:r>
              <w:rPr>
                <w:rFonts w:ascii="Arial" w:hAnsi="Arial"/>
                <w:sz w:val="17"/>
              </w:rPr>
              <w:t>Request claims to be a trusted agent using another agent_id.</w:t>
            </w:r>
          </w:p>
        </w:tc>
        <w:tc>
          <w:tcPr>
            <w:tcW w:type="dxa" w:w="2469"/>
            <w:vAlign w:val="center"/>
            <w:tcMar>
              <w:top w:w="100" w:type="dxa"/>
              <w:start w:w="120" w:type="dxa"/>
              <w:bottom w:w="100" w:type="dxa"/>
              <w:end w:w="120" w:type="dxa"/>
            </w:tcMar>
            <w:shd w:fill="F8FAFC"/>
          </w:tcPr>
          <w:p>
            <w:r>
              <w:rPr>
                <w:rFonts w:ascii="Arial" w:hAnsi="Arial"/>
                <w:sz w:val="17"/>
              </w:rPr>
              <w:t>JWT subject/agent_id match, tenant match, signature verification, revocation.</w:t>
            </w:r>
          </w:p>
        </w:tc>
        <w:tc>
          <w:tcPr>
            <w:tcW w:type="dxa" w:w="2469"/>
            <w:vAlign w:val="center"/>
            <w:tcMar>
              <w:top w:w="100" w:type="dxa"/>
              <w:start w:w="120" w:type="dxa"/>
              <w:bottom w:w="100" w:type="dxa"/>
              <w:end w:w="120" w:type="dxa"/>
            </w:tcMar>
            <w:shd w:fill="F8FAFC"/>
          </w:tcPr>
          <w:p>
            <w:r>
              <w:rPr>
                <w:rFonts w:ascii="Arial" w:hAnsi="Arial"/>
                <w:sz w:val="17"/>
              </w:rPr>
              <w:t>Stolen token works until expiry unless detected and revoked.</w:t>
            </w:r>
          </w:p>
        </w:tc>
      </w:tr>
      <w:tr>
        <w:tc>
          <w:tcPr>
            <w:tcW w:type="dxa" w:w="2469"/>
            <w:vAlign w:val="center"/>
            <w:tcMar>
              <w:top w:w="100" w:type="dxa"/>
              <w:start w:w="120" w:type="dxa"/>
              <w:bottom w:w="100" w:type="dxa"/>
              <w:end w:w="120" w:type="dxa"/>
            </w:tcMar>
          </w:tcPr>
          <w:p>
            <w:r>
              <w:rPr>
                <w:rFonts w:ascii="Arial" w:hAnsi="Arial"/>
                <w:sz w:val="17"/>
              </w:rPr>
              <w:t>Unauthorized tool use</w:t>
            </w:r>
          </w:p>
        </w:tc>
        <w:tc>
          <w:tcPr>
            <w:tcW w:type="dxa" w:w="2469"/>
            <w:vAlign w:val="center"/>
            <w:tcMar>
              <w:top w:w="100" w:type="dxa"/>
              <w:start w:w="120" w:type="dxa"/>
              <w:bottom w:w="100" w:type="dxa"/>
              <w:end w:w="120" w:type="dxa"/>
            </w:tcMar>
          </w:tcPr>
          <w:p>
            <w:r>
              <w:rPr>
                <w:rFonts w:ascii="Arial" w:hAnsi="Arial"/>
                <w:sz w:val="17"/>
              </w:rPr>
              <w:t>Research agent requests db_write or external transfer.</w:t>
            </w:r>
          </w:p>
        </w:tc>
        <w:tc>
          <w:tcPr>
            <w:tcW w:type="dxa" w:w="2469"/>
            <w:vAlign w:val="center"/>
            <w:tcMar>
              <w:top w:w="100" w:type="dxa"/>
              <w:start w:w="120" w:type="dxa"/>
              <w:bottom w:w="100" w:type="dxa"/>
              <w:end w:w="120" w:type="dxa"/>
            </w:tcMar>
          </w:tcPr>
          <w:p>
            <w:r>
              <w:rPr>
                <w:rFonts w:ascii="Arial" w:hAnsi="Arial"/>
                <w:sz w:val="17"/>
              </w:rPr>
              <w:t>Deny-by-default permission manifests and action-level checks.</w:t>
            </w:r>
          </w:p>
        </w:tc>
        <w:tc>
          <w:tcPr>
            <w:tcW w:type="dxa" w:w="2469"/>
            <w:vAlign w:val="center"/>
            <w:tcMar>
              <w:top w:w="100" w:type="dxa"/>
              <w:start w:w="120" w:type="dxa"/>
              <w:bottom w:w="100" w:type="dxa"/>
              <w:end w:w="120" w:type="dxa"/>
            </w:tcMar>
          </w:tcPr>
          <w:p>
            <w:r>
              <w:rPr>
                <w:rFonts w:ascii="Arial" w:hAnsi="Arial"/>
                <w:sz w:val="17"/>
              </w:rPr>
              <w:t>Badly configured manifests can still allow excessive scope.</w:t>
            </w:r>
          </w:p>
        </w:tc>
      </w:tr>
      <w:tr>
        <w:tc>
          <w:tcPr>
            <w:tcW w:type="dxa" w:w="2469"/>
            <w:vAlign w:val="center"/>
            <w:tcMar>
              <w:top w:w="100" w:type="dxa"/>
              <w:start w:w="120" w:type="dxa"/>
              <w:bottom w:w="100" w:type="dxa"/>
              <w:end w:w="120" w:type="dxa"/>
            </w:tcMar>
            <w:shd w:fill="F8FAFC"/>
          </w:tcPr>
          <w:p>
            <w:r>
              <w:rPr>
                <w:rFonts w:ascii="Arial" w:hAnsi="Arial"/>
                <w:sz w:val="17"/>
              </w:rPr>
              <w:t>Ledger tampering</w:t>
            </w:r>
          </w:p>
        </w:tc>
        <w:tc>
          <w:tcPr>
            <w:tcW w:type="dxa" w:w="2469"/>
            <w:vAlign w:val="center"/>
            <w:tcMar>
              <w:top w:w="100" w:type="dxa"/>
              <w:start w:w="120" w:type="dxa"/>
              <w:bottom w:w="100" w:type="dxa"/>
              <w:end w:w="120" w:type="dxa"/>
            </w:tcMar>
            <w:shd w:fill="F8FAFC"/>
          </w:tcPr>
          <w:p>
            <w:r>
              <w:rPr>
                <w:rFonts w:ascii="Arial" w:hAnsi="Arial"/>
                <w:sz w:val="17"/>
              </w:rPr>
              <w:t>Operator updates event_data after a bad decision.</w:t>
            </w:r>
          </w:p>
        </w:tc>
        <w:tc>
          <w:tcPr>
            <w:tcW w:type="dxa" w:w="2469"/>
            <w:vAlign w:val="center"/>
            <w:tcMar>
              <w:top w:w="100" w:type="dxa"/>
              <w:start w:w="120" w:type="dxa"/>
              <w:bottom w:w="100" w:type="dxa"/>
              <w:end w:w="120" w:type="dxa"/>
            </w:tcMar>
            <w:shd w:fill="F8FAFC"/>
          </w:tcPr>
          <w:p>
            <w:r>
              <w:rPr>
                <w:rFonts w:ascii="Arial" w:hAnsi="Arial"/>
                <w:sz w:val="17"/>
              </w:rPr>
              <w:t>No update/delete role, mutation trigger, hash verification, offsite backups.</w:t>
            </w:r>
          </w:p>
        </w:tc>
        <w:tc>
          <w:tcPr>
            <w:tcW w:type="dxa" w:w="2469"/>
            <w:vAlign w:val="center"/>
            <w:tcMar>
              <w:top w:w="100" w:type="dxa"/>
              <w:start w:w="120" w:type="dxa"/>
              <w:bottom w:w="100" w:type="dxa"/>
              <w:end w:w="120" w:type="dxa"/>
            </w:tcMar>
            <w:shd w:fill="F8FAFC"/>
          </w:tcPr>
          <w:p>
            <w:r>
              <w:rPr>
                <w:rFonts w:ascii="Arial" w:hAnsi="Arial"/>
                <w:sz w:val="17"/>
              </w:rPr>
              <w:t>Superuser database compromise can bypass app controls.</w:t>
            </w:r>
          </w:p>
        </w:tc>
      </w:tr>
      <w:tr>
        <w:tc>
          <w:tcPr>
            <w:tcW w:type="dxa" w:w="2469"/>
            <w:vAlign w:val="center"/>
            <w:tcMar>
              <w:top w:w="100" w:type="dxa"/>
              <w:start w:w="120" w:type="dxa"/>
              <w:bottom w:w="100" w:type="dxa"/>
              <w:end w:w="120" w:type="dxa"/>
            </w:tcMar>
          </w:tcPr>
          <w:p>
            <w:r>
              <w:rPr>
                <w:rFonts w:ascii="Arial" w:hAnsi="Arial"/>
                <w:sz w:val="17"/>
              </w:rPr>
              <w:t>Replay attack</w:t>
            </w:r>
          </w:p>
        </w:tc>
        <w:tc>
          <w:tcPr>
            <w:tcW w:type="dxa" w:w="2469"/>
            <w:vAlign w:val="center"/>
            <w:tcMar>
              <w:top w:w="100" w:type="dxa"/>
              <w:start w:w="120" w:type="dxa"/>
              <w:bottom w:w="100" w:type="dxa"/>
              <w:end w:w="120" w:type="dxa"/>
            </w:tcMar>
          </w:tcPr>
          <w:p>
            <w:r>
              <w:rPr>
                <w:rFonts w:ascii="Arial" w:hAnsi="Arial"/>
                <w:sz w:val="17"/>
              </w:rPr>
              <w:t>Old allowed verdict is reused for a new action.</w:t>
            </w:r>
          </w:p>
        </w:tc>
        <w:tc>
          <w:tcPr>
            <w:tcW w:type="dxa" w:w="2469"/>
            <w:vAlign w:val="center"/>
            <w:tcMar>
              <w:top w:w="100" w:type="dxa"/>
              <w:start w:w="120" w:type="dxa"/>
              <w:bottom w:w="100" w:type="dxa"/>
              <w:end w:w="120" w:type="dxa"/>
            </w:tcMar>
          </w:tcPr>
          <w:p>
            <w:r>
              <w:rPr>
                <w:rFonts w:ascii="Arial" w:hAnsi="Arial"/>
                <w:sz w:val="17"/>
              </w:rPr>
              <w:t>JWT expiry, jti registry, request ids, optional nonce for high-risk tools.</w:t>
            </w:r>
          </w:p>
        </w:tc>
        <w:tc>
          <w:tcPr>
            <w:tcW w:type="dxa" w:w="2469"/>
            <w:vAlign w:val="center"/>
            <w:tcMar>
              <w:top w:w="100" w:type="dxa"/>
              <w:start w:w="120" w:type="dxa"/>
              <w:bottom w:w="100" w:type="dxa"/>
              <w:end w:w="120" w:type="dxa"/>
            </w:tcMar>
          </w:tcPr>
          <w:p>
            <w:r>
              <w:rPr>
                <w:rFonts w:ascii="Arial" w:hAnsi="Arial"/>
                <w:sz w:val="17"/>
              </w:rPr>
              <w:t>Replay prevention depends on client adoption for nonces.</w:t>
            </w:r>
          </w:p>
        </w:tc>
      </w:tr>
      <w:tr>
        <w:tc>
          <w:tcPr>
            <w:tcW w:type="dxa" w:w="2469"/>
            <w:vAlign w:val="center"/>
            <w:tcMar>
              <w:top w:w="100" w:type="dxa"/>
              <w:start w:w="120" w:type="dxa"/>
              <w:bottom w:w="100" w:type="dxa"/>
              <w:end w:w="120" w:type="dxa"/>
            </w:tcMar>
            <w:shd w:fill="F8FAFC"/>
          </w:tcPr>
          <w:p>
            <w:r>
              <w:rPr>
                <w:rFonts w:ascii="Arial" w:hAnsi="Arial"/>
                <w:sz w:val="17"/>
              </w:rPr>
              <w:t>Dashboard deception</w:t>
            </w:r>
          </w:p>
        </w:tc>
        <w:tc>
          <w:tcPr>
            <w:tcW w:type="dxa" w:w="2469"/>
            <w:vAlign w:val="center"/>
            <w:tcMar>
              <w:top w:w="100" w:type="dxa"/>
              <w:start w:w="120" w:type="dxa"/>
              <w:bottom w:w="100" w:type="dxa"/>
              <w:end w:w="120" w:type="dxa"/>
            </w:tcMar>
            <w:shd w:fill="F8FAFC"/>
          </w:tcPr>
          <w:p>
            <w:r>
              <w:rPr>
                <w:rFonts w:ascii="Arial" w:hAnsi="Arial"/>
                <w:sz w:val="17"/>
              </w:rPr>
              <w:t>Frontend displays mocked security state.</w:t>
            </w:r>
          </w:p>
        </w:tc>
        <w:tc>
          <w:tcPr>
            <w:tcW w:type="dxa" w:w="2469"/>
            <w:vAlign w:val="center"/>
            <w:tcMar>
              <w:top w:w="100" w:type="dxa"/>
              <w:start w:w="120" w:type="dxa"/>
              <w:bottom w:w="100" w:type="dxa"/>
              <w:end w:w="120" w:type="dxa"/>
            </w:tcMar>
            <w:shd w:fill="F8FAFC"/>
          </w:tcPr>
          <w:p>
            <w:r>
              <w:rPr>
                <w:rFonts w:ascii="Arial" w:hAnsi="Arial"/>
                <w:sz w:val="17"/>
              </w:rPr>
              <w:t>Dashboard must consume real APIs or named fixtures in demo mode.</w:t>
            </w:r>
          </w:p>
        </w:tc>
        <w:tc>
          <w:tcPr>
            <w:tcW w:type="dxa" w:w="2469"/>
            <w:vAlign w:val="center"/>
            <w:tcMar>
              <w:top w:w="100" w:type="dxa"/>
              <w:start w:w="120" w:type="dxa"/>
              <w:bottom w:w="100" w:type="dxa"/>
              <w:end w:w="120" w:type="dxa"/>
            </w:tcMar>
            <w:shd w:fill="F8FAFC"/>
          </w:tcPr>
          <w:p>
            <w:r>
              <w:rPr>
                <w:rFonts w:ascii="Arial" w:hAnsi="Arial"/>
                <w:sz w:val="17"/>
              </w:rPr>
              <w:t>Demo mode must be visibly labeled.</w:t>
            </w:r>
          </w:p>
        </w:tc>
      </w:tr>
    </w:tbl>
    <w:p/>
    <w:p>
      <w:pPr>
        <w:pStyle w:val="Heading1"/>
      </w:pPr>
      <w:r>
        <w:t>4. Auth And Key Rotation</w:t>
      </w:r>
    </w:p>
    <w:p>
      <w:pPr>
        <w:pStyle w:val="ListBullet"/>
      </w:pPr>
      <w:r>
        <w:t>API keys are generated once, shown once, and stored as salted hashes with prefix metadata.</w:t>
      </w:r>
    </w:p>
    <w:p>
      <w:pPr>
        <w:pStyle w:val="ListBullet"/>
      </w:pPr>
      <w:r>
        <w:t>Each API key has tenant_id, scopes, status, created_at, last_used_at, expires_at, and optional allowed origins.</w:t>
      </w:r>
    </w:p>
    <w:p>
      <w:pPr>
        <w:pStyle w:val="ListBullet"/>
      </w:pPr>
      <w:r>
        <w:t>Agent JWTs use RS256 with kid. Private keys remain backend-only. Public keys are versioned.</w:t>
      </w:r>
    </w:p>
    <w:p>
      <w:pPr>
        <w:pStyle w:val="ListBullet"/>
      </w:pPr>
      <w:r>
        <w:t>JWT lifetime defaults to 60 minutes. Revocation stores jti and agent_id state.</w:t>
      </w:r>
    </w:p>
    <w:p>
      <w:pPr>
        <w:pStyle w:val="ListBullet"/>
      </w:pPr>
      <w:r>
        <w:t>Key rotation keeps old public keys valid until all issued tokens expire, then disables the old kid.</w:t>
      </w:r>
    </w:p>
    <w:p>
      <w:pPr>
        <w:pStyle w:val="ListBullet"/>
      </w:pPr>
      <w:r>
        <w:t>Emergency rotation invalidates active jti rows and marks affected agents as suspended until respawned.</w:t>
      </w:r>
    </w:p>
    <w:p>
      <w:pPr>
        <w:pStyle w:val="Heading1"/>
      </w:pPr>
      <w:r>
        <w:t>5. Ledger Integrity Design</w:t>
      </w:r>
    </w:p>
    <w:p>
      <w:pPr>
        <w:pStyle w:val="ListNumber"/>
      </w:pPr>
      <w:r>
        <w:t>The first row uses a fixed genesis prev_hash value stored in configuration and documented in migration history.</w:t>
      </w:r>
    </w:p>
    <w:p>
      <w:pPr>
        <w:pStyle w:val="ListNumber"/>
      </w:pPr>
      <w:r>
        <w:t>Each row hash is SHA-256 over canonical JSON event_data, prev_hash, tenant_id, agent_id, event_type, verdict, severity, and created_at.</w:t>
      </w:r>
    </w:p>
    <w:p>
      <w:pPr>
        <w:pStyle w:val="ListNumber"/>
      </w:pPr>
      <w:r>
        <w:t>Ledger append occurs in the same transaction as verdict state changes where possible.</w:t>
      </w:r>
    </w:p>
    <w:p>
      <w:pPr>
        <w:pStyle w:val="ListNumber"/>
      </w:pPr>
      <w:r>
        <w:t>Concurrent writes use a PostgreSQL advisory lock or serializable transaction to ensure exactly one previous head.</w:t>
      </w:r>
    </w:p>
    <w:p>
      <w:pPr>
        <w:pStyle w:val="ListNumber"/>
      </w:pPr>
      <w:r>
        <w:t>Application DB role can INSERT and SELECT audit_ledger but cannot UPDATE or DELETE.</w:t>
      </w:r>
    </w:p>
    <w:p>
      <w:pPr>
        <w:pStyle w:val="ListNumber"/>
      </w:pPr>
      <w:r>
        <w:t>A database trigger rejects any UPDATE or DELETE attempt even if a broader role is accidentally used.</w:t>
      </w:r>
    </w:p>
    <w:p>
      <w:pPr>
        <w:pStyle w:val="ListNumber"/>
      </w:pPr>
      <w:r>
        <w:t>Verification scans rows in id order and returns valid, entries_checked, first broken id, expected hash, and actual hash.</w:t>
      </w:r>
    </w:p>
    <w:p>
      <w:pPr>
        <w:pStyle w:val="Heading1"/>
      </w:pPr>
      <w:r>
        <w:t>6. Trust Score Rules</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Event</w:t>
            </w:r>
          </w:p>
        </w:tc>
        <w:tc>
          <w:tcPr>
            <w:tcW w:type="dxa" w:w="3293"/>
            <w:vAlign w:val="center"/>
            <w:tcMar>
              <w:top w:w="100" w:type="dxa"/>
              <w:start w:w="120" w:type="dxa"/>
              <w:bottom w:w="100" w:type="dxa"/>
              <w:end w:w="120" w:type="dxa"/>
            </w:tcMar>
            <w:shd w:fill="1E3A8A"/>
          </w:tcPr>
          <w:p>
            <w:r>
              <w:rPr>
                <w:rFonts w:ascii="Arial" w:hAnsi="Arial"/>
                <w:b/>
                <w:color w:val="F8FAFC"/>
                <w:sz w:val="17"/>
              </w:rPr>
              <w:t>Trust Delta</w:t>
            </w:r>
          </w:p>
        </w:tc>
        <w:tc>
          <w:tcPr>
            <w:tcW w:type="dxa" w:w="3293"/>
            <w:vAlign w:val="center"/>
            <w:tcMar>
              <w:top w:w="100" w:type="dxa"/>
              <w:start w:w="120" w:type="dxa"/>
              <w:bottom w:w="100" w:type="dxa"/>
              <w:end w:w="120" w:type="dxa"/>
            </w:tcMar>
            <w:shd w:fill="1E3A8A"/>
          </w:tcPr>
          <w:p>
            <w:r>
              <w:rPr>
                <w:rFonts w:ascii="Arial" w:hAnsi="Arial"/>
                <w:b/>
                <w:color w:val="F8FAFC"/>
                <w:sz w:val="17"/>
              </w:rPr>
              <w:t>Notes</w:t>
            </w:r>
          </w:p>
        </w:tc>
      </w:tr>
      <w:tr>
        <w:tc>
          <w:tcPr>
            <w:tcW w:type="dxa" w:w="3293"/>
            <w:vAlign w:val="center"/>
            <w:tcMar>
              <w:top w:w="100" w:type="dxa"/>
              <w:start w:w="120" w:type="dxa"/>
              <w:bottom w:w="100" w:type="dxa"/>
              <w:end w:w="120" w:type="dxa"/>
            </w:tcMar>
          </w:tcPr>
          <w:p>
            <w:r>
              <w:rPr>
                <w:rFonts w:ascii="Arial" w:hAnsi="Arial"/>
                <w:sz w:val="17"/>
              </w:rPr>
              <w:t>Clean allowed message</w:t>
            </w:r>
          </w:p>
        </w:tc>
        <w:tc>
          <w:tcPr>
            <w:tcW w:type="dxa" w:w="3293"/>
            <w:vAlign w:val="center"/>
            <w:tcMar>
              <w:top w:w="100" w:type="dxa"/>
              <w:start w:w="120" w:type="dxa"/>
              <w:bottom w:w="100" w:type="dxa"/>
              <w:end w:w="120" w:type="dxa"/>
            </w:tcMar>
          </w:tcPr>
          <w:p>
            <w:r>
              <w:rPr>
                <w:rFonts w:ascii="Arial" w:hAnsi="Arial"/>
                <w:sz w:val="17"/>
              </w:rPr>
              <w:t>+0.005</w:t>
            </w:r>
          </w:p>
        </w:tc>
        <w:tc>
          <w:tcPr>
            <w:tcW w:type="dxa" w:w="3293"/>
            <w:vAlign w:val="center"/>
            <w:tcMar>
              <w:top w:w="100" w:type="dxa"/>
              <w:start w:w="120" w:type="dxa"/>
              <w:bottom w:w="100" w:type="dxa"/>
              <w:end w:w="120" w:type="dxa"/>
            </w:tcMar>
          </w:tcPr>
          <w:p>
            <w:r>
              <w:rPr>
                <w:rFonts w:ascii="Arial" w:hAnsi="Arial"/>
                <w:sz w:val="17"/>
              </w:rPr>
              <w:t>Cap positive movement to once per minute per agent.</w:t>
            </w:r>
          </w:p>
        </w:tc>
      </w:tr>
      <w:tr>
        <w:tc>
          <w:tcPr>
            <w:tcW w:type="dxa" w:w="3293"/>
            <w:vAlign w:val="center"/>
            <w:tcMar>
              <w:top w:w="100" w:type="dxa"/>
              <w:start w:w="120" w:type="dxa"/>
              <w:bottom w:w="100" w:type="dxa"/>
              <w:end w:w="120" w:type="dxa"/>
            </w:tcMar>
            <w:shd w:fill="F8FAFC"/>
          </w:tcPr>
          <w:p>
            <w:r>
              <w:rPr>
                <w:rFonts w:ascii="Arial" w:hAnsi="Arial"/>
                <w:sz w:val="17"/>
              </w:rPr>
              <w:t>Low-confidence suspicious content flagged</w:t>
            </w:r>
          </w:p>
        </w:tc>
        <w:tc>
          <w:tcPr>
            <w:tcW w:type="dxa" w:w="3293"/>
            <w:vAlign w:val="center"/>
            <w:tcMar>
              <w:top w:w="100" w:type="dxa"/>
              <w:start w:w="120" w:type="dxa"/>
              <w:bottom w:w="100" w:type="dxa"/>
              <w:end w:w="120" w:type="dxa"/>
            </w:tcMar>
            <w:shd w:fill="F8FAFC"/>
          </w:tcPr>
          <w:p>
            <w:r>
              <w:rPr>
                <w:rFonts w:ascii="Arial" w:hAnsi="Arial"/>
                <w:sz w:val="17"/>
              </w:rPr>
              <w:t>-0.03</w:t>
            </w:r>
          </w:p>
        </w:tc>
        <w:tc>
          <w:tcPr>
            <w:tcW w:type="dxa" w:w="3293"/>
            <w:vAlign w:val="center"/>
            <w:tcMar>
              <w:top w:w="100" w:type="dxa"/>
              <w:start w:w="120" w:type="dxa"/>
              <w:bottom w:w="100" w:type="dxa"/>
              <w:end w:w="120" w:type="dxa"/>
            </w:tcMar>
            <w:shd w:fill="F8FAFC"/>
          </w:tcPr>
          <w:p>
            <w:r>
              <w:rPr>
                <w:rFonts w:ascii="Arial" w:hAnsi="Arial"/>
                <w:sz w:val="17"/>
              </w:rPr>
              <w:t>Verdict FLAGGED unless policy says block.</w:t>
            </w:r>
          </w:p>
        </w:tc>
      </w:tr>
      <w:tr>
        <w:tc>
          <w:tcPr>
            <w:tcW w:type="dxa" w:w="3293"/>
            <w:vAlign w:val="center"/>
            <w:tcMar>
              <w:top w:w="100" w:type="dxa"/>
              <w:start w:w="120" w:type="dxa"/>
              <w:bottom w:w="100" w:type="dxa"/>
              <w:end w:w="120" w:type="dxa"/>
            </w:tcMar>
          </w:tcPr>
          <w:p>
            <w:r>
              <w:rPr>
                <w:rFonts w:ascii="Arial" w:hAnsi="Arial"/>
                <w:sz w:val="17"/>
              </w:rPr>
              <w:t>High-confidence injection blocked</w:t>
            </w:r>
          </w:p>
        </w:tc>
        <w:tc>
          <w:tcPr>
            <w:tcW w:type="dxa" w:w="3293"/>
            <w:vAlign w:val="center"/>
            <w:tcMar>
              <w:top w:w="100" w:type="dxa"/>
              <w:start w:w="120" w:type="dxa"/>
              <w:bottom w:w="100" w:type="dxa"/>
              <w:end w:w="120" w:type="dxa"/>
            </w:tcMar>
          </w:tcPr>
          <w:p>
            <w:r>
              <w:rPr>
                <w:rFonts w:ascii="Arial" w:hAnsi="Arial"/>
                <w:sz w:val="17"/>
              </w:rPr>
              <w:t>-0.15</w:t>
            </w:r>
          </w:p>
        </w:tc>
        <w:tc>
          <w:tcPr>
            <w:tcW w:type="dxa" w:w="3293"/>
            <w:vAlign w:val="center"/>
            <w:tcMar>
              <w:top w:w="100" w:type="dxa"/>
              <w:start w:w="120" w:type="dxa"/>
              <w:bottom w:w="100" w:type="dxa"/>
              <w:end w:w="120" w:type="dxa"/>
            </w:tcMar>
          </w:tcPr>
          <w:p>
            <w:r>
              <w:rPr>
                <w:rFonts w:ascii="Arial" w:hAnsi="Arial"/>
                <w:sz w:val="17"/>
              </w:rPr>
              <w:t>Verdict BLOCKED; create threat event.</w:t>
            </w:r>
          </w:p>
        </w:tc>
      </w:tr>
      <w:tr>
        <w:tc>
          <w:tcPr>
            <w:tcW w:type="dxa" w:w="3293"/>
            <w:vAlign w:val="center"/>
            <w:tcMar>
              <w:top w:w="100" w:type="dxa"/>
              <w:start w:w="120" w:type="dxa"/>
              <w:bottom w:w="100" w:type="dxa"/>
              <w:end w:w="120" w:type="dxa"/>
            </w:tcMar>
            <w:shd w:fill="F8FAFC"/>
          </w:tcPr>
          <w:p>
            <w:r>
              <w:rPr>
                <w:rFonts w:ascii="Arial" w:hAnsi="Arial"/>
                <w:sz w:val="17"/>
              </w:rPr>
              <w:t>Unauthorized tool call blocked</w:t>
            </w:r>
          </w:p>
        </w:tc>
        <w:tc>
          <w:tcPr>
            <w:tcW w:type="dxa" w:w="3293"/>
            <w:vAlign w:val="center"/>
            <w:tcMar>
              <w:top w:w="100" w:type="dxa"/>
              <w:start w:w="120" w:type="dxa"/>
              <w:bottom w:w="100" w:type="dxa"/>
              <w:end w:w="120" w:type="dxa"/>
            </w:tcMar>
            <w:shd w:fill="F8FAFC"/>
          </w:tcPr>
          <w:p>
            <w:r>
              <w:rPr>
                <w:rFonts w:ascii="Arial" w:hAnsi="Arial"/>
                <w:sz w:val="17"/>
              </w:rPr>
              <w:t>-0.20</w:t>
            </w:r>
          </w:p>
        </w:tc>
        <w:tc>
          <w:tcPr>
            <w:tcW w:type="dxa" w:w="3293"/>
            <w:vAlign w:val="center"/>
            <w:tcMar>
              <w:top w:w="100" w:type="dxa"/>
              <w:start w:w="120" w:type="dxa"/>
              <w:bottom w:w="100" w:type="dxa"/>
              <w:end w:w="120" w:type="dxa"/>
            </w:tcMar>
            <w:shd w:fill="F8FAFC"/>
          </w:tcPr>
          <w:p>
            <w:r>
              <w:rPr>
                <w:rFonts w:ascii="Arial" w:hAnsi="Arial"/>
                <w:sz w:val="17"/>
              </w:rPr>
              <w:t>High severity if tool is sensitive.</w:t>
            </w:r>
          </w:p>
        </w:tc>
      </w:tr>
      <w:tr>
        <w:tc>
          <w:tcPr>
            <w:tcW w:type="dxa" w:w="3293"/>
            <w:vAlign w:val="center"/>
            <w:tcMar>
              <w:top w:w="100" w:type="dxa"/>
              <w:start w:w="120" w:type="dxa"/>
              <w:bottom w:w="100" w:type="dxa"/>
              <w:end w:w="120" w:type="dxa"/>
            </w:tcMar>
          </w:tcPr>
          <w:p>
            <w:r>
              <w:rPr>
                <w:rFonts w:ascii="Arial" w:hAnsi="Arial"/>
                <w:sz w:val="17"/>
              </w:rPr>
              <w:t>Invalid or spoofed identity</w:t>
            </w:r>
          </w:p>
        </w:tc>
        <w:tc>
          <w:tcPr>
            <w:tcW w:type="dxa" w:w="3293"/>
            <w:vAlign w:val="center"/>
            <w:tcMar>
              <w:top w:w="100" w:type="dxa"/>
              <w:start w:w="120" w:type="dxa"/>
              <w:bottom w:w="100" w:type="dxa"/>
              <w:end w:w="120" w:type="dxa"/>
            </w:tcMar>
          </w:tcPr>
          <w:p>
            <w:r>
              <w:rPr>
                <w:rFonts w:ascii="Arial" w:hAnsi="Arial"/>
                <w:sz w:val="17"/>
              </w:rPr>
              <w:t>-0.30</w:t>
            </w:r>
          </w:p>
        </w:tc>
        <w:tc>
          <w:tcPr>
            <w:tcW w:type="dxa" w:w="3293"/>
            <w:vAlign w:val="center"/>
            <w:tcMar>
              <w:top w:w="100" w:type="dxa"/>
              <w:start w:w="120" w:type="dxa"/>
              <w:bottom w:w="100" w:type="dxa"/>
              <w:end w:w="120" w:type="dxa"/>
            </w:tcMar>
          </w:tcPr>
          <w:p>
            <w:r>
              <w:rPr>
                <w:rFonts w:ascii="Arial" w:hAnsi="Arial"/>
                <w:sz w:val="17"/>
              </w:rPr>
              <w:t>Critical; may suspend agent depending policy.</w:t>
            </w:r>
          </w:p>
        </w:tc>
      </w:tr>
      <w:tr>
        <w:tc>
          <w:tcPr>
            <w:tcW w:type="dxa" w:w="3293"/>
            <w:vAlign w:val="center"/>
            <w:tcMar>
              <w:top w:w="100" w:type="dxa"/>
              <w:start w:w="120" w:type="dxa"/>
              <w:bottom w:w="100" w:type="dxa"/>
              <w:end w:w="120" w:type="dxa"/>
            </w:tcMar>
            <w:shd w:fill="F8FAFC"/>
          </w:tcPr>
          <w:p>
            <w:r>
              <w:rPr>
                <w:rFonts w:ascii="Arial" w:hAnsi="Arial"/>
                <w:sz w:val="17"/>
              </w:rPr>
              <w:t>Manual resolve false positive</w:t>
            </w:r>
          </w:p>
        </w:tc>
        <w:tc>
          <w:tcPr>
            <w:tcW w:type="dxa" w:w="3293"/>
            <w:vAlign w:val="center"/>
            <w:tcMar>
              <w:top w:w="100" w:type="dxa"/>
              <w:start w:w="120" w:type="dxa"/>
              <w:bottom w:w="100" w:type="dxa"/>
              <w:end w:w="120" w:type="dxa"/>
            </w:tcMar>
            <w:shd w:fill="F8FAFC"/>
          </w:tcPr>
          <w:p>
            <w:r>
              <w:rPr>
                <w:rFonts w:ascii="Arial" w:hAnsi="Arial"/>
                <w:sz w:val="17"/>
              </w:rPr>
              <w:t>+0.05</w:t>
            </w:r>
          </w:p>
        </w:tc>
        <w:tc>
          <w:tcPr>
            <w:tcW w:type="dxa" w:w="3293"/>
            <w:vAlign w:val="center"/>
            <w:tcMar>
              <w:top w:w="100" w:type="dxa"/>
              <w:start w:w="120" w:type="dxa"/>
              <w:bottom w:w="100" w:type="dxa"/>
              <w:end w:w="120" w:type="dxa"/>
            </w:tcMar>
            <w:shd w:fill="F8FAFC"/>
          </w:tcPr>
          <w:p>
            <w:r>
              <w:rPr>
                <w:rFonts w:ascii="Arial" w:hAnsi="Arial"/>
                <w:sz w:val="17"/>
              </w:rPr>
              <w:t>Audited admin action; never deletes event.</w:t>
            </w:r>
          </w:p>
        </w:tc>
      </w:tr>
    </w:tbl>
    <w:p/>
    <w:p>
      <w:r>
        <w:t>Trust scores are bounded between 0.0 and 1.0. The first production version uses trust for visibility and risk escalation, not automatic permission expansion. Adaptive permission escalation is deferred until policy review exists.</w:t>
      </w:r>
    </w:p>
    <w:p>
      <w:pPr>
        <w:pStyle w:val="Heading1"/>
      </w:pPr>
      <w:r>
        <w:t>7. Security Acceptance Gates</w:t>
      </w:r>
    </w:p>
    <w:tbl>
      <w:tblPr>
        <w:tblStyle w:val="TableGrid"/>
        <w:tblW w:type="auto" w:w="0"/>
        <w:jc w:val="left"/>
        <w:tblLook w:firstColumn="1" w:firstRow="1" w:lastColumn="0" w:lastRow="0" w:noHBand="0" w:noVBand="1" w:val="04A0"/>
      </w:tblPr>
      <w:tblGrid>
        <w:gridCol w:w="4939"/>
        <w:gridCol w:w="4939"/>
      </w:tblGrid>
      <w:tr>
        <w:tc>
          <w:tcPr>
            <w:tcW w:type="dxa" w:w="4939"/>
            <w:vAlign w:val="center"/>
            <w:tcMar>
              <w:top w:w="100" w:type="dxa"/>
              <w:start w:w="120" w:type="dxa"/>
              <w:bottom w:w="100" w:type="dxa"/>
              <w:end w:w="120" w:type="dxa"/>
            </w:tcMar>
            <w:shd w:fill="1E3A8A"/>
          </w:tcPr>
          <w:p>
            <w:r>
              <w:rPr>
                <w:rFonts w:ascii="Arial" w:hAnsi="Arial"/>
                <w:b/>
                <w:color w:val="F8FAFC"/>
                <w:sz w:val="17"/>
              </w:rPr>
              <w:t>Gate</w:t>
            </w:r>
          </w:p>
        </w:tc>
        <w:tc>
          <w:tcPr>
            <w:tcW w:type="dxa" w:w="4939"/>
            <w:vAlign w:val="center"/>
            <w:tcMar>
              <w:top w:w="100" w:type="dxa"/>
              <w:start w:w="120" w:type="dxa"/>
              <w:bottom w:w="100" w:type="dxa"/>
              <w:end w:w="120" w:type="dxa"/>
            </w:tcMar>
            <w:shd w:fill="1E3A8A"/>
          </w:tcPr>
          <w:p>
            <w:r>
              <w:rPr>
                <w:rFonts w:ascii="Arial" w:hAnsi="Arial"/>
                <w:b/>
                <w:color w:val="F8FAFC"/>
                <w:sz w:val="17"/>
              </w:rPr>
              <w:t>Pass Condition</w:t>
            </w:r>
          </w:p>
        </w:tc>
      </w:tr>
      <w:tr>
        <w:tc>
          <w:tcPr>
            <w:tcW w:type="dxa" w:w="4939"/>
            <w:vAlign w:val="center"/>
            <w:tcMar>
              <w:top w:w="100" w:type="dxa"/>
              <w:start w:w="120" w:type="dxa"/>
              <w:bottom w:w="100" w:type="dxa"/>
              <w:end w:w="120" w:type="dxa"/>
            </w:tcMar>
          </w:tcPr>
          <w:p>
            <w:r>
              <w:rPr>
                <w:rFonts w:ascii="Arial" w:hAnsi="Arial"/>
                <w:sz w:val="17"/>
              </w:rPr>
              <w:t>Auth</w:t>
            </w:r>
          </w:p>
        </w:tc>
        <w:tc>
          <w:tcPr>
            <w:tcW w:type="dxa" w:w="4939"/>
            <w:vAlign w:val="center"/>
            <w:tcMar>
              <w:top w:w="100" w:type="dxa"/>
              <w:start w:w="120" w:type="dxa"/>
              <w:bottom w:w="100" w:type="dxa"/>
              <w:end w:w="120" w:type="dxa"/>
            </w:tcMar>
          </w:tcPr>
          <w:p>
            <w:r>
              <w:rPr>
                <w:rFonts w:ascii="Arial" w:hAnsi="Arial"/>
                <w:sz w:val="17"/>
              </w:rPr>
              <w:t>Missing API key, invalid API key, expired JWT, mismatched agent_id, and revoked jti all fail with expected error codes.</w:t>
            </w:r>
          </w:p>
        </w:tc>
      </w:tr>
      <w:tr>
        <w:tc>
          <w:tcPr>
            <w:tcW w:type="dxa" w:w="4939"/>
            <w:vAlign w:val="center"/>
            <w:tcMar>
              <w:top w:w="100" w:type="dxa"/>
              <w:start w:w="120" w:type="dxa"/>
              <w:bottom w:w="100" w:type="dxa"/>
              <w:end w:w="120" w:type="dxa"/>
            </w:tcMar>
            <w:shd w:fill="F8FAFC"/>
          </w:tcPr>
          <w:p>
            <w:r>
              <w:rPr>
                <w:rFonts w:ascii="Arial" w:hAnsi="Arial"/>
                <w:sz w:val="17"/>
              </w:rPr>
              <w:t>Policy</w:t>
            </w:r>
          </w:p>
        </w:tc>
        <w:tc>
          <w:tcPr>
            <w:tcW w:type="dxa" w:w="4939"/>
            <w:vAlign w:val="center"/>
            <w:tcMar>
              <w:top w:w="100" w:type="dxa"/>
              <w:start w:w="120" w:type="dxa"/>
              <w:bottom w:w="100" w:type="dxa"/>
              <w:end w:w="120" w:type="dxa"/>
            </w:tcMar>
            <w:shd w:fill="F8FAFC"/>
          </w:tcPr>
          <w:p>
            <w:r>
              <w:rPr>
                <w:rFonts w:ascii="Arial" w:hAnsi="Arial"/>
                <w:sz w:val="17"/>
              </w:rPr>
              <w:t>Agent cannot call a tool/action absent from manifest.</w:t>
            </w:r>
          </w:p>
        </w:tc>
      </w:tr>
      <w:tr>
        <w:tc>
          <w:tcPr>
            <w:tcW w:type="dxa" w:w="4939"/>
            <w:vAlign w:val="center"/>
            <w:tcMar>
              <w:top w:w="100" w:type="dxa"/>
              <w:start w:w="120" w:type="dxa"/>
              <w:bottom w:w="100" w:type="dxa"/>
              <w:end w:w="120" w:type="dxa"/>
            </w:tcMar>
          </w:tcPr>
          <w:p>
            <w:r>
              <w:rPr>
                <w:rFonts w:ascii="Arial" w:hAnsi="Arial"/>
                <w:sz w:val="17"/>
              </w:rPr>
              <w:t>Ledger</w:t>
            </w:r>
          </w:p>
        </w:tc>
        <w:tc>
          <w:tcPr>
            <w:tcW w:type="dxa" w:w="4939"/>
            <w:vAlign w:val="center"/>
            <w:tcMar>
              <w:top w:w="100" w:type="dxa"/>
              <w:start w:w="120" w:type="dxa"/>
              <w:bottom w:w="100" w:type="dxa"/>
              <w:end w:w="120" w:type="dxa"/>
            </w:tcMar>
          </w:tcPr>
          <w:p>
            <w:r>
              <w:rPr>
                <w:rFonts w:ascii="Arial" w:hAnsi="Arial"/>
                <w:sz w:val="17"/>
              </w:rPr>
              <w:t>Tampered row causes /ledger/verify to return valid=false at the modified row.</w:t>
            </w:r>
          </w:p>
        </w:tc>
      </w:tr>
      <w:tr>
        <w:tc>
          <w:tcPr>
            <w:tcW w:type="dxa" w:w="4939"/>
            <w:vAlign w:val="center"/>
            <w:tcMar>
              <w:top w:w="100" w:type="dxa"/>
              <w:start w:w="120" w:type="dxa"/>
              <w:bottom w:w="100" w:type="dxa"/>
              <w:end w:w="120" w:type="dxa"/>
            </w:tcMar>
            <w:shd w:fill="F8FAFC"/>
          </w:tcPr>
          <w:p>
            <w:r>
              <w:rPr>
                <w:rFonts w:ascii="Arial" w:hAnsi="Arial"/>
                <w:sz w:val="17"/>
              </w:rPr>
              <w:t>Latency</w:t>
            </w:r>
          </w:p>
        </w:tc>
        <w:tc>
          <w:tcPr>
            <w:tcW w:type="dxa" w:w="4939"/>
            <w:vAlign w:val="center"/>
            <w:tcMar>
              <w:top w:w="100" w:type="dxa"/>
              <w:start w:w="120" w:type="dxa"/>
              <w:bottom w:w="100" w:type="dxa"/>
              <w:end w:w="120" w:type="dxa"/>
            </w:tcMar>
            <w:shd w:fill="F8FAFC"/>
          </w:tcPr>
          <w:p>
            <w:r>
              <w:rPr>
                <w:rFonts w:ascii="Arial" w:hAnsi="Arial"/>
                <w:sz w:val="17"/>
              </w:rPr>
              <w:t>Synchronous deterministic path meets target without invoking LLM.</w:t>
            </w:r>
          </w:p>
        </w:tc>
      </w:tr>
      <w:tr>
        <w:tc>
          <w:tcPr>
            <w:tcW w:type="dxa" w:w="4939"/>
            <w:vAlign w:val="center"/>
            <w:tcMar>
              <w:top w:w="100" w:type="dxa"/>
              <w:start w:w="120" w:type="dxa"/>
              <w:bottom w:w="100" w:type="dxa"/>
              <w:end w:w="120" w:type="dxa"/>
            </w:tcMar>
          </w:tcPr>
          <w:p>
            <w:r>
              <w:rPr>
                <w:rFonts w:ascii="Arial" w:hAnsi="Arial"/>
                <w:sz w:val="17"/>
              </w:rPr>
              <w:t>Secrets</w:t>
            </w:r>
          </w:p>
        </w:tc>
        <w:tc>
          <w:tcPr>
            <w:tcW w:type="dxa" w:w="4939"/>
            <w:vAlign w:val="center"/>
            <w:tcMar>
              <w:top w:w="100" w:type="dxa"/>
              <w:start w:w="120" w:type="dxa"/>
              <w:bottom w:w="100" w:type="dxa"/>
              <w:end w:w="120" w:type="dxa"/>
            </w:tcMar>
          </w:tcPr>
          <w:p>
            <w:r>
              <w:rPr>
                <w:rFonts w:ascii="Arial" w:hAnsi="Arial"/>
                <w:sz w:val="17"/>
              </w:rPr>
              <w:t>No raw API keys, private JWT keys, or prompt payload secrets appear in frontend bundle or logs.</w:t>
            </w:r>
          </w:p>
        </w:tc>
      </w:tr>
    </w:tbl>
    <w:p/>
    <w:p>
      <w:pPr>
        <w:pStyle w:val="Heading1"/>
      </w:pPr>
      <w:r>
        <w:t>8. Incident Response Runbooks</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Incident</w:t>
            </w:r>
          </w:p>
        </w:tc>
        <w:tc>
          <w:tcPr>
            <w:tcW w:type="dxa" w:w="3293"/>
            <w:vAlign w:val="center"/>
            <w:tcMar>
              <w:top w:w="100" w:type="dxa"/>
              <w:start w:w="120" w:type="dxa"/>
              <w:bottom w:w="100" w:type="dxa"/>
              <w:end w:w="120" w:type="dxa"/>
            </w:tcMar>
            <w:shd w:fill="1E3A8A"/>
          </w:tcPr>
          <w:p>
            <w:r>
              <w:rPr>
                <w:rFonts w:ascii="Arial" w:hAnsi="Arial"/>
                <w:b/>
                <w:color w:val="F8FAFC"/>
                <w:sz w:val="17"/>
              </w:rPr>
              <w:t>Immediate Action</w:t>
            </w:r>
          </w:p>
        </w:tc>
        <w:tc>
          <w:tcPr>
            <w:tcW w:type="dxa" w:w="3293"/>
            <w:vAlign w:val="center"/>
            <w:tcMar>
              <w:top w:w="100" w:type="dxa"/>
              <w:start w:w="120" w:type="dxa"/>
              <w:bottom w:w="100" w:type="dxa"/>
              <w:end w:w="120" w:type="dxa"/>
            </w:tcMar>
            <w:shd w:fill="1E3A8A"/>
          </w:tcPr>
          <w:p>
            <w:r>
              <w:rPr>
                <w:rFonts w:ascii="Arial" w:hAnsi="Arial"/>
                <w:b/>
                <w:color w:val="F8FAFC"/>
                <w:sz w:val="17"/>
              </w:rPr>
              <w:t>Follow-Up</w:t>
            </w:r>
          </w:p>
        </w:tc>
      </w:tr>
      <w:tr>
        <w:tc>
          <w:tcPr>
            <w:tcW w:type="dxa" w:w="3293"/>
            <w:vAlign w:val="center"/>
            <w:tcMar>
              <w:top w:w="100" w:type="dxa"/>
              <w:start w:w="120" w:type="dxa"/>
              <w:bottom w:w="100" w:type="dxa"/>
              <w:end w:w="120" w:type="dxa"/>
            </w:tcMar>
          </w:tcPr>
          <w:p>
            <w:r>
              <w:rPr>
                <w:rFonts w:ascii="Arial" w:hAnsi="Arial"/>
                <w:sz w:val="17"/>
              </w:rPr>
              <w:t>API key compromise</w:t>
            </w:r>
          </w:p>
        </w:tc>
        <w:tc>
          <w:tcPr>
            <w:tcW w:type="dxa" w:w="3293"/>
            <w:vAlign w:val="center"/>
            <w:tcMar>
              <w:top w:w="100" w:type="dxa"/>
              <w:start w:w="120" w:type="dxa"/>
              <w:bottom w:w="100" w:type="dxa"/>
              <w:end w:w="120" w:type="dxa"/>
            </w:tcMar>
          </w:tcPr>
          <w:p>
            <w:r>
              <w:rPr>
                <w:rFonts w:ascii="Arial" w:hAnsi="Arial"/>
                <w:sz w:val="17"/>
              </w:rPr>
              <w:t>Disable key status, identify last_used_at and request logs, create replacement key.</w:t>
            </w:r>
          </w:p>
        </w:tc>
        <w:tc>
          <w:tcPr>
            <w:tcW w:type="dxa" w:w="3293"/>
            <w:vAlign w:val="center"/>
            <w:tcMar>
              <w:top w:w="100" w:type="dxa"/>
              <w:start w:w="120" w:type="dxa"/>
              <w:bottom w:w="100" w:type="dxa"/>
              <w:end w:w="120" w:type="dxa"/>
            </w:tcMar>
          </w:tcPr>
          <w:p>
            <w:r>
              <w:rPr>
                <w:rFonts w:ascii="Arial" w:hAnsi="Arial"/>
                <w:sz w:val="17"/>
              </w:rPr>
              <w:t>Review tenant events, rotate any linked demo credentials, document blast radius.</w:t>
            </w:r>
          </w:p>
        </w:tc>
      </w:tr>
      <w:tr>
        <w:tc>
          <w:tcPr>
            <w:tcW w:type="dxa" w:w="3293"/>
            <w:vAlign w:val="center"/>
            <w:tcMar>
              <w:top w:w="100" w:type="dxa"/>
              <w:start w:w="120" w:type="dxa"/>
              <w:bottom w:w="100" w:type="dxa"/>
              <w:end w:w="120" w:type="dxa"/>
            </w:tcMar>
            <w:shd w:fill="F8FAFC"/>
          </w:tcPr>
          <w:p>
            <w:r>
              <w:rPr>
                <w:rFonts w:ascii="Arial" w:hAnsi="Arial"/>
                <w:sz w:val="17"/>
              </w:rPr>
              <w:t>JWT private key compromise</w:t>
            </w:r>
          </w:p>
        </w:tc>
        <w:tc>
          <w:tcPr>
            <w:tcW w:type="dxa" w:w="3293"/>
            <w:vAlign w:val="center"/>
            <w:tcMar>
              <w:top w:w="100" w:type="dxa"/>
              <w:start w:w="120" w:type="dxa"/>
              <w:bottom w:w="100" w:type="dxa"/>
              <w:end w:w="120" w:type="dxa"/>
            </w:tcMar>
            <w:shd w:fill="F8FAFC"/>
          </w:tcPr>
          <w:p>
            <w:r>
              <w:rPr>
                <w:rFonts w:ascii="Arial" w:hAnsi="Arial"/>
                <w:sz w:val="17"/>
              </w:rPr>
              <w:t>Disable current kid, revoke active jti rows, suspend affected agents, rotate private/public key pair.</w:t>
            </w:r>
          </w:p>
        </w:tc>
        <w:tc>
          <w:tcPr>
            <w:tcW w:type="dxa" w:w="3293"/>
            <w:vAlign w:val="center"/>
            <w:tcMar>
              <w:top w:w="100" w:type="dxa"/>
              <w:start w:w="120" w:type="dxa"/>
              <w:bottom w:w="100" w:type="dxa"/>
              <w:end w:w="120" w:type="dxa"/>
            </w:tcMar>
            <w:shd w:fill="F8FAFC"/>
          </w:tcPr>
          <w:p>
            <w:r>
              <w:rPr>
                <w:rFonts w:ascii="Arial" w:hAnsi="Arial"/>
                <w:sz w:val="17"/>
              </w:rPr>
              <w:t>Audit token issuance logs and require agent respawn.</w:t>
            </w:r>
          </w:p>
        </w:tc>
      </w:tr>
      <w:tr>
        <w:tc>
          <w:tcPr>
            <w:tcW w:type="dxa" w:w="3293"/>
            <w:vAlign w:val="center"/>
            <w:tcMar>
              <w:top w:w="100" w:type="dxa"/>
              <w:start w:w="120" w:type="dxa"/>
              <w:bottom w:w="100" w:type="dxa"/>
              <w:end w:w="120" w:type="dxa"/>
            </w:tcMar>
          </w:tcPr>
          <w:p>
            <w:r>
              <w:rPr>
                <w:rFonts w:ascii="Arial" w:hAnsi="Arial"/>
                <w:sz w:val="17"/>
              </w:rPr>
              <w:t>Ledger verification failure</w:t>
            </w:r>
          </w:p>
        </w:tc>
        <w:tc>
          <w:tcPr>
            <w:tcW w:type="dxa" w:w="3293"/>
            <w:vAlign w:val="center"/>
            <w:tcMar>
              <w:top w:w="100" w:type="dxa"/>
              <w:start w:w="120" w:type="dxa"/>
              <w:bottom w:w="100" w:type="dxa"/>
              <w:end w:w="120" w:type="dxa"/>
            </w:tcMar>
          </w:tcPr>
          <w:p>
            <w:r>
              <w:rPr>
                <w:rFonts w:ascii="Arial" w:hAnsi="Arial"/>
                <w:sz w:val="17"/>
              </w:rPr>
              <w:t>Stop protected write path, snapshot database, identify first broken row, compare backup or export.</w:t>
            </w:r>
          </w:p>
        </w:tc>
        <w:tc>
          <w:tcPr>
            <w:tcW w:type="dxa" w:w="3293"/>
            <w:vAlign w:val="center"/>
            <w:tcMar>
              <w:top w:w="100" w:type="dxa"/>
              <w:start w:w="120" w:type="dxa"/>
              <w:bottom w:w="100" w:type="dxa"/>
              <w:end w:w="120" w:type="dxa"/>
            </w:tcMar>
          </w:tcPr>
          <w:p>
            <w:r>
              <w:rPr>
                <w:rFonts w:ascii="Arial" w:hAnsi="Arial"/>
                <w:sz w:val="17"/>
              </w:rPr>
              <w:t>Treat as security incident until explained by migration/test data.</w:t>
            </w:r>
          </w:p>
        </w:tc>
      </w:tr>
      <w:tr>
        <w:tc>
          <w:tcPr>
            <w:tcW w:type="dxa" w:w="3293"/>
            <w:vAlign w:val="center"/>
            <w:tcMar>
              <w:top w:w="100" w:type="dxa"/>
              <w:start w:w="120" w:type="dxa"/>
              <w:bottom w:w="100" w:type="dxa"/>
              <w:end w:w="120" w:type="dxa"/>
            </w:tcMar>
            <w:shd w:fill="F8FAFC"/>
          </w:tcPr>
          <w:p>
            <w:r>
              <w:rPr>
                <w:rFonts w:ascii="Arial" w:hAnsi="Arial"/>
                <w:sz w:val="17"/>
              </w:rPr>
              <w:t>Critical threat spike</w:t>
            </w:r>
          </w:p>
        </w:tc>
        <w:tc>
          <w:tcPr>
            <w:tcW w:type="dxa" w:w="3293"/>
            <w:vAlign w:val="center"/>
            <w:tcMar>
              <w:top w:w="100" w:type="dxa"/>
              <w:start w:w="120" w:type="dxa"/>
              <w:bottom w:w="100" w:type="dxa"/>
              <w:end w:w="120" w:type="dxa"/>
            </w:tcMar>
            <w:shd w:fill="F8FAFC"/>
          </w:tcPr>
          <w:p>
            <w:r>
              <w:rPr>
                <w:rFonts w:ascii="Arial" w:hAnsi="Arial"/>
                <w:sz w:val="17"/>
              </w:rPr>
              <w:t>Rate limit affected tenant, surface dashboard alert, collect sample evidence.</w:t>
            </w:r>
          </w:p>
        </w:tc>
        <w:tc>
          <w:tcPr>
            <w:tcW w:type="dxa" w:w="3293"/>
            <w:vAlign w:val="center"/>
            <w:tcMar>
              <w:top w:w="100" w:type="dxa"/>
              <w:start w:w="120" w:type="dxa"/>
              <w:bottom w:w="100" w:type="dxa"/>
              <w:end w:w="120" w:type="dxa"/>
            </w:tcMar>
            <w:shd w:fill="F8FAFC"/>
          </w:tcPr>
          <w:p>
            <w:r>
              <w:rPr>
                <w:rFonts w:ascii="Arial" w:hAnsi="Arial"/>
                <w:sz w:val="17"/>
              </w:rPr>
              <w:t>Tune detector patterns and update curated attack set.</w:t>
            </w:r>
          </w:p>
        </w:tc>
      </w:tr>
      <w:tr>
        <w:tc>
          <w:tcPr>
            <w:tcW w:type="dxa" w:w="3293"/>
            <w:vAlign w:val="center"/>
            <w:tcMar>
              <w:top w:w="100" w:type="dxa"/>
              <w:start w:w="120" w:type="dxa"/>
              <w:bottom w:w="100" w:type="dxa"/>
              <w:end w:w="120" w:type="dxa"/>
            </w:tcMar>
          </w:tcPr>
          <w:p>
            <w:r>
              <w:rPr>
                <w:rFonts w:ascii="Arial" w:hAnsi="Arial"/>
                <w:sz w:val="17"/>
              </w:rPr>
              <w:t>LLM enrichment outage</w:t>
            </w:r>
          </w:p>
        </w:tc>
        <w:tc>
          <w:tcPr>
            <w:tcW w:type="dxa" w:w="3293"/>
            <w:vAlign w:val="center"/>
            <w:tcMar>
              <w:top w:w="100" w:type="dxa"/>
              <w:start w:w="120" w:type="dxa"/>
              <w:bottom w:w="100" w:type="dxa"/>
              <w:end w:w="120" w:type="dxa"/>
            </w:tcMar>
          </w:tcPr>
          <w:p>
            <w:r>
              <w:rPr>
                <w:rFonts w:ascii="Arial" w:hAnsi="Arial"/>
                <w:sz w:val="17"/>
              </w:rPr>
              <w:t>Keep deterministic protection online, mark enrichment degraded in health status.</w:t>
            </w:r>
          </w:p>
        </w:tc>
        <w:tc>
          <w:tcPr>
            <w:tcW w:type="dxa" w:w="3293"/>
            <w:vAlign w:val="center"/>
            <w:tcMar>
              <w:top w:w="100" w:type="dxa"/>
              <w:start w:w="120" w:type="dxa"/>
              <w:bottom w:w="100" w:type="dxa"/>
              <w:end w:w="120" w:type="dxa"/>
            </w:tcMar>
          </w:tcPr>
          <w:p>
            <w:r>
              <w:rPr>
                <w:rFonts w:ascii="Arial" w:hAnsi="Arial"/>
                <w:sz w:val="17"/>
              </w:rPr>
              <w:t>Retry queued jobs after provider recovery.</w:t>
            </w:r>
          </w:p>
        </w:tc>
      </w:tr>
    </w:tbl>
    <w:p/>
    <w:p>
      <w:pPr>
        <w:pStyle w:val="Heading1"/>
      </w:pPr>
      <w:r>
        <w:t>9. Residual Risk Register</w:t>
      </w:r>
    </w:p>
    <w:tbl>
      <w:tblPr>
        <w:tblStyle w:val="TableGrid"/>
        <w:tblW w:type="auto" w:w="0"/>
        <w:jc w:val="left"/>
        <w:tblLook w:firstColumn="1" w:firstRow="1" w:lastColumn="0" w:lastRow="0" w:noHBand="0" w:noVBand="1" w:val="04A0"/>
      </w:tblPr>
      <w:tblGrid>
        <w:gridCol w:w="3293"/>
        <w:gridCol w:w="3293"/>
        <w:gridCol w:w="3293"/>
      </w:tblGrid>
      <w:tr>
        <w:tc>
          <w:tcPr>
            <w:tcW w:type="dxa" w:w="3293"/>
            <w:vAlign w:val="center"/>
            <w:tcMar>
              <w:top w:w="100" w:type="dxa"/>
              <w:start w:w="120" w:type="dxa"/>
              <w:bottom w:w="100" w:type="dxa"/>
              <w:end w:w="120" w:type="dxa"/>
            </w:tcMar>
            <w:shd w:fill="1E3A8A"/>
          </w:tcPr>
          <w:p>
            <w:r>
              <w:rPr>
                <w:rFonts w:ascii="Arial" w:hAnsi="Arial"/>
                <w:b/>
                <w:color w:val="F8FAFC"/>
                <w:sz w:val="17"/>
              </w:rPr>
              <w:t>Risk</w:t>
            </w:r>
          </w:p>
        </w:tc>
        <w:tc>
          <w:tcPr>
            <w:tcW w:type="dxa" w:w="3293"/>
            <w:vAlign w:val="center"/>
            <w:tcMar>
              <w:top w:w="100" w:type="dxa"/>
              <w:start w:w="120" w:type="dxa"/>
              <w:bottom w:w="100" w:type="dxa"/>
              <w:end w:w="120" w:type="dxa"/>
            </w:tcMar>
            <w:shd w:fill="1E3A8A"/>
          </w:tcPr>
          <w:p>
            <w:r>
              <w:rPr>
                <w:rFonts w:ascii="Arial" w:hAnsi="Arial"/>
                <w:b/>
                <w:color w:val="F8FAFC"/>
                <w:sz w:val="17"/>
              </w:rPr>
              <w:t>Why It Remains</w:t>
            </w:r>
          </w:p>
        </w:tc>
        <w:tc>
          <w:tcPr>
            <w:tcW w:type="dxa" w:w="3293"/>
            <w:vAlign w:val="center"/>
            <w:tcMar>
              <w:top w:w="100" w:type="dxa"/>
              <w:start w:w="120" w:type="dxa"/>
              <w:bottom w:w="100" w:type="dxa"/>
              <w:end w:w="120" w:type="dxa"/>
            </w:tcMar>
            <w:shd w:fill="1E3A8A"/>
          </w:tcPr>
          <w:p>
            <w:r>
              <w:rPr>
                <w:rFonts w:ascii="Arial" w:hAnsi="Arial"/>
                <w:b/>
                <w:color w:val="F8FAFC"/>
                <w:sz w:val="17"/>
              </w:rPr>
              <w:t>Owner Action</w:t>
            </w:r>
          </w:p>
        </w:tc>
      </w:tr>
      <w:tr>
        <w:tc>
          <w:tcPr>
            <w:tcW w:type="dxa" w:w="3293"/>
            <w:vAlign w:val="center"/>
            <w:tcMar>
              <w:top w:w="100" w:type="dxa"/>
              <w:start w:w="120" w:type="dxa"/>
              <w:bottom w:w="100" w:type="dxa"/>
              <w:end w:w="120" w:type="dxa"/>
            </w:tcMar>
          </w:tcPr>
          <w:p>
            <w:r>
              <w:rPr>
                <w:rFonts w:ascii="Arial" w:hAnsi="Arial"/>
                <w:sz w:val="17"/>
              </w:rPr>
              <w:t>No execution sandbox</w:t>
            </w:r>
          </w:p>
        </w:tc>
        <w:tc>
          <w:tcPr>
            <w:tcW w:type="dxa" w:w="3293"/>
            <w:vAlign w:val="center"/>
            <w:tcMar>
              <w:top w:w="100" w:type="dxa"/>
              <w:start w:w="120" w:type="dxa"/>
              <w:bottom w:w="100" w:type="dxa"/>
              <w:end w:w="120" w:type="dxa"/>
            </w:tcMar>
          </w:tcPr>
          <w:p>
            <w:r>
              <w:rPr>
                <w:rFonts w:ascii="Arial" w:hAnsi="Arial"/>
                <w:sz w:val="17"/>
              </w:rPr>
              <w:t>Original scope excludes isolation of arbitrary tool execution.</w:t>
            </w:r>
          </w:p>
        </w:tc>
        <w:tc>
          <w:tcPr>
            <w:tcW w:type="dxa" w:w="3293"/>
            <w:vAlign w:val="center"/>
            <w:tcMar>
              <w:top w:w="100" w:type="dxa"/>
              <w:start w:w="120" w:type="dxa"/>
              <w:bottom w:w="100" w:type="dxa"/>
              <w:end w:w="120" w:type="dxa"/>
            </w:tcMar>
          </w:tcPr>
          <w:p>
            <w:r>
              <w:rPr>
                <w:rFonts w:ascii="Arial" w:hAnsi="Arial"/>
                <w:sz w:val="17"/>
              </w:rPr>
              <w:t>Document integration boundary and require host application sandboxing for dangerous tools.</w:t>
            </w:r>
          </w:p>
        </w:tc>
      </w:tr>
      <w:tr>
        <w:tc>
          <w:tcPr>
            <w:tcW w:type="dxa" w:w="3293"/>
            <w:vAlign w:val="center"/>
            <w:tcMar>
              <w:top w:w="100" w:type="dxa"/>
              <w:start w:w="120" w:type="dxa"/>
              <w:bottom w:w="100" w:type="dxa"/>
              <w:end w:w="120" w:type="dxa"/>
            </w:tcMar>
            <w:shd w:fill="F8FAFC"/>
          </w:tcPr>
          <w:p>
            <w:r>
              <w:rPr>
                <w:rFonts w:ascii="Arial" w:hAnsi="Arial"/>
                <w:sz w:val="17"/>
              </w:rPr>
              <w:t>Pattern evasion</w:t>
            </w:r>
          </w:p>
        </w:tc>
        <w:tc>
          <w:tcPr>
            <w:tcW w:type="dxa" w:w="3293"/>
            <w:vAlign w:val="center"/>
            <w:tcMar>
              <w:top w:w="100" w:type="dxa"/>
              <w:start w:w="120" w:type="dxa"/>
              <w:bottom w:w="100" w:type="dxa"/>
              <w:end w:w="120" w:type="dxa"/>
            </w:tcMar>
            <w:shd w:fill="F8FAFC"/>
          </w:tcPr>
          <w:p>
            <w:r>
              <w:rPr>
                <w:rFonts w:ascii="Arial" w:hAnsi="Arial"/>
                <w:sz w:val="17"/>
              </w:rPr>
              <w:t>Attackers can invent new phrasing that avoids curated regexes.</w:t>
            </w:r>
          </w:p>
        </w:tc>
        <w:tc>
          <w:tcPr>
            <w:tcW w:type="dxa" w:w="3293"/>
            <w:vAlign w:val="center"/>
            <w:tcMar>
              <w:top w:w="100" w:type="dxa"/>
              <w:start w:w="120" w:type="dxa"/>
              <w:bottom w:w="100" w:type="dxa"/>
              <w:end w:w="120" w:type="dxa"/>
            </w:tcMar>
            <w:shd w:fill="F8FAFC"/>
          </w:tcPr>
          <w:p>
            <w:r>
              <w:rPr>
                <w:rFonts w:ascii="Arial" w:hAnsi="Arial"/>
                <w:sz w:val="17"/>
              </w:rPr>
              <w:t>Maintain labeled dataset and use async enrichment to discover new signatures.</w:t>
            </w:r>
          </w:p>
        </w:tc>
      </w:tr>
      <w:tr>
        <w:tc>
          <w:tcPr>
            <w:tcW w:type="dxa" w:w="3293"/>
            <w:vAlign w:val="center"/>
            <w:tcMar>
              <w:top w:w="100" w:type="dxa"/>
              <w:start w:w="120" w:type="dxa"/>
              <w:bottom w:w="100" w:type="dxa"/>
              <w:end w:w="120" w:type="dxa"/>
            </w:tcMar>
          </w:tcPr>
          <w:p>
            <w:r>
              <w:rPr>
                <w:rFonts w:ascii="Arial" w:hAnsi="Arial"/>
                <w:sz w:val="17"/>
              </w:rPr>
              <w:t>Operator misuse</w:t>
            </w:r>
          </w:p>
        </w:tc>
        <w:tc>
          <w:tcPr>
            <w:tcW w:type="dxa" w:w="3293"/>
            <w:vAlign w:val="center"/>
            <w:tcMar>
              <w:top w:w="100" w:type="dxa"/>
              <w:start w:w="120" w:type="dxa"/>
              <w:bottom w:w="100" w:type="dxa"/>
              <w:end w:w="120" w:type="dxa"/>
            </w:tcMar>
          </w:tcPr>
          <w:p>
            <w:r>
              <w:rPr>
                <w:rFonts w:ascii="Arial" w:hAnsi="Arial"/>
                <w:sz w:val="17"/>
              </w:rPr>
              <w:t>Admins may create overly broad manifests.</w:t>
            </w:r>
          </w:p>
        </w:tc>
        <w:tc>
          <w:tcPr>
            <w:tcW w:type="dxa" w:w="3293"/>
            <w:vAlign w:val="center"/>
            <w:tcMar>
              <w:top w:w="100" w:type="dxa"/>
              <w:start w:w="120" w:type="dxa"/>
              <w:bottom w:w="100" w:type="dxa"/>
              <w:end w:w="120" w:type="dxa"/>
            </w:tcMar>
          </w:tcPr>
          <w:p>
            <w:r>
              <w:rPr>
                <w:rFonts w:ascii="Arial" w:hAnsi="Arial"/>
                <w:sz w:val="17"/>
              </w:rPr>
              <w:t>Add risky-permission warnings and require review for write/destructive tools.</w:t>
            </w:r>
          </w:p>
        </w:tc>
      </w:tr>
      <w:tr>
        <w:tc>
          <w:tcPr>
            <w:tcW w:type="dxa" w:w="3293"/>
            <w:vAlign w:val="center"/>
            <w:tcMar>
              <w:top w:w="100" w:type="dxa"/>
              <w:start w:w="120" w:type="dxa"/>
              <w:bottom w:w="100" w:type="dxa"/>
              <w:end w:w="120" w:type="dxa"/>
            </w:tcMar>
            <w:shd w:fill="F8FAFC"/>
          </w:tcPr>
          <w:p>
            <w:r>
              <w:rPr>
                <w:rFonts w:ascii="Arial" w:hAnsi="Arial"/>
                <w:sz w:val="17"/>
              </w:rPr>
              <w:t>Database superuser tampering</w:t>
            </w:r>
          </w:p>
        </w:tc>
        <w:tc>
          <w:tcPr>
            <w:tcW w:type="dxa" w:w="3293"/>
            <w:vAlign w:val="center"/>
            <w:tcMar>
              <w:top w:w="100" w:type="dxa"/>
              <w:start w:w="120" w:type="dxa"/>
              <w:bottom w:w="100" w:type="dxa"/>
              <w:end w:w="120" w:type="dxa"/>
            </w:tcMar>
            <w:shd w:fill="F8FAFC"/>
          </w:tcPr>
          <w:p>
            <w:r>
              <w:rPr>
                <w:rFonts w:ascii="Arial" w:hAnsi="Arial"/>
                <w:sz w:val="17"/>
              </w:rPr>
              <w:t>Application-level append-only controls cannot stop a fully compromised DB superuser.</w:t>
            </w:r>
          </w:p>
        </w:tc>
        <w:tc>
          <w:tcPr>
            <w:tcW w:type="dxa" w:w="3293"/>
            <w:vAlign w:val="center"/>
            <w:tcMar>
              <w:top w:w="100" w:type="dxa"/>
              <w:start w:w="120" w:type="dxa"/>
              <w:bottom w:w="100" w:type="dxa"/>
              <w:end w:w="120" w:type="dxa"/>
            </w:tcMar>
            <w:shd w:fill="F8FAFC"/>
          </w:tcPr>
          <w:p>
            <w:r>
              <w:rPr>
                <w:rFonts w:ascii="Arial" w:hAnsi="Arial"/>
                <w:sz w:val="17"/>
              </w:rPr>
              <w:t>Use backups, external hash anchoring, and restricted production DB access.</w:t>
            </w:r>
          </w:p>
        </w:tc>
      </w:tr>
    </w:tbl>
    <w:p/>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AgentShield Security Threat Model | AgentShield Production Documentation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E3A8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