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png" ContentType="image/png"/>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5"/>
        <w:keepNext/>
        <w:widowControl/>
        <w:spacing w:before="240" w:after="160"/>
        <w:jc w:val="center"/>
      </w:pPr>
      <w:r>
        <w:rPr>
          <w:rFonts w:ascii="Times New Roman" w:hAnsi="Times New Roman"/>
          <w:b/>
          <w:color w:val="000000"/>
          <w:sz w:val="30"/>
        </w:rPr>
        <w:t xml:space="preserve">Green TAC for Carbon Aware Optimization Selection with Transparent Cost Models and Validation</w:t>
      </w:r>
    </w:p>
    <w:p>
      <w:pPr>
        <w:pStyle w:val="1"/>
        <w:widowControl/>
        <w:spacing w:after="60"/>
        <w:jc w:val="center"/>
      </w:pPr>
      <w:r>
        <w:rPr>
          <w:rFonts w:ascii="Times New Roman" w:hAnsi="Times New Roman"/>
          <w:sz w:val="19"/>
        </w:rPr>
        <w:t xml:space="preserve">Authors: __________________________________________________________</w:t>
      </w:r>
    </w:p>
    <w:p>
      <w:pPr>
        <w:pStyle w:val="1"/>
        <w:widowControl/>
        <w:spacing w:after="60"/>
        <w:jc w:val="center"/>
      </w:pPr>
      <w:r>
        <w:rPr>
          <w:rFonts w:ascii="Times New Roman" w:hAnsi="Times New Roman"/>
          <w:sz w:val="19"/>
        </w:rPr>
        <w:t xml:space="preserve">Affiliations: ________________________________________________________</w:t>
      </w:r>
    </w:p>
    <w:p>
      <w:pPr>
        <w:pStyle w:val="1"/>
        <w:widowControl/>
        <w:spacing w:after="60"/>
        <w:jc w:val="center"/>
      </w:pPr>
      <w:r>
        <w:rPr>
          <w:rFonts w:ascii="Times New Roman" w:hAnsi="Times New Roman"/>
          <w:sz w:val="19"/>
        </w:rPr>
        <w:t xml:space="preserve">Corresponding author and email: _________________________________________</w:t>
      </w:r>
    </w:p>
    <w:p>
      <w:pPr>
        <w:pStyle w:val="1"/>
        <w:widowControl/>
        <w:spacing w:after="60"/>
        <w:jc w:val="center"/>
      </w:pPr>
      <w:r>
        <w:rPr>
          <w:rFonts w:ascii="Times New Roman" w:hAnsi="Times New Roman"/>
          <w:sz w:val="19"/>
        </w:rPr>
        <w:t xml:space="preserve">ORCID: __________________________________________________________</w:t>
      </w:r>
    </w:p>
    <w:p>
      <w:pPr>
        <w:pStyle w:val="1"/>
        <w:keepNext/>
        <w:widowControl/>
        <w:spacing w:before="160" w:after="100"/>
      </w:pPr>
      <w:r>
        <w:rPr>
          <w:rFonts w:ascii="Times New Roman" w:hAnsi="Times New Roman"/>
          <w:b/>
          <w:color w:val="1F3864"/>
          <w:sz w:val="24"/>
        </w:rPr>
        <w:t xml:space="preserve">Abstract</w:t>
      </w:r>
    </w:p>
    <w:p>
      <w:pPr>
        <w:pStyle w:val="1"/>
        <w:widowControl/>
        <w:spacing w:after="120" w:line="276" w:lineRule="auto"/>
        <w:jc w:val="both"/>
      </w:pPr>
      <w:r>
        <w:rPr>
          <w:rFonts w:ascii="Times New Roman" w:hAnsi="Times New Roman"/>
          <w:b w:val="0"/>
          <w:sz w:val="22"/>
        </w:rPr>
        <w:t xml:space="preserve">Compiler optimization consumes resources during compilation while potentially reducing the cost of repeated execution. Choosing an optimization strategy therefore requires an explicit account of both phases and their electricity carbon intensities. This study implemented Green TAC, a prototype compiler that selects among baseline translation, lightweight simplification, and local directed acyclic graph optimization for a small integer language. The selector combined compilation and execution energy estimates with expected execution count and a predicted runtime constraint. Runtime models were trained using standardized Ridge regression on ten baseline code features. A balanced study of 31 programs produced 93 program strategy observations and 465 timed batches; 24 programs were used for training and seven for held out evaluation. The illustrative common subexpression program decreased from 21 to 19 intermediate instructions under graph optimization, a 9.5% reduction. However, all three runtime models underperformed a training mean reference, with mean absolute errors of 12.46 to 12.80 nanoseconds compared with reference errors of 8.90 to 9.13 nanoseconds. Under explicitly hypothetical carbon scenarios and proxy energy formulas, increasing expected executions from one to three to ten changed the selected strategy from baseline to lightweight to graph optimization. The results establish an inspectable selection mechanism and an initial measurement pipeline, but do not establish measured energy savings, carbon reductions, or reliable runtime guarantees.</w:t>
      </w:r>
    </w:p>
    <w:p>
      <w:pPr>
        <w:pStyle w:val="1"/>
        <w:widowControl/>
        <w:spacing w:before="160" w:after="240"/>
      </w:pPr>
      <w:r>
        <w:rPr>
          <w:rFonts w:ascii="Times New Roman" w:hAnsi="Times New Roman"/>
          <w:sz w:val="22"/>
        </w:rPr>
        <w:t xml:space="preserve">Keywords: sustainable compilation; common subexpression elimination; Ridge regression; energy accounting; program analysis; reproducible benchmarking</w:t>
      </w:r>
    </w:p>
    <w:p>
      <w:pPr>
        <w:pStyle w:val="2"/>
        <w:keepNext/>
        <w:keepLines/>
        <w:widowControl/>
        <w:spacing w:before="320" w:after="120"/>
      </w:pPr>
      <w:r>
        <w:rPr>
          <w:rFonts w:ascii="Times New Roman" w:hAnsi="Times New Roman"/>
          <w:b/>
          <w:color w:val="1F3864"/>
          <w:sz w:val="26"/>
        </w:rPr>
        <w:t xml:space="preserve">1 Introduction</w:t>
      </w:r>
    </w:p>
    <w:p>
      <w:pPr>
        <w:pStyle w:val="1"/>
        <w:widowControl/>
        <w:spacing w:after="120" w:line="276" w:lineRule="auto"/>
        <w:jc w:val="both"/>
      </w:pPr>
      <w:r>
        <w:rPr>
          <w:rFonts w:ascii="Times New Roman" w:hAnsi="Times New Roman"/>
          <w:b w:val="0"/>
          <w:sz w:val="22"/>
        </w:rPr>
        <w:t xml:space="preserve">Compiler optimizations exchange work performed before execution for changes in the program that will eventually run. Constant folding can replace arithmetic with a literal, copy propagation can expose simplifications, and common subexpression elimination can reuse a previously computed value. These transformations are familiar, but their benefits depend on how often the resulting program executes. The GNU Compiler Collection explicitly describes optimization as an attempt to improve runtime performance or code size at the expense of compilation time [1]. Treating compilation as free can therefore obscure a relevant cost when programs are small, short lived, or frequently rebuilt.</w:t>
      </w:r>
    </w:p>
    <w:p>
      <w:pPr>
        <w:pStyle w:val="1"/>
        <w:widowControl/>
        <w:spacing w:after="120" w:line="276" w:lineRule="auto"/>
        <w:jc w:val="both"/>
      </w:pPr>
      <w:r>
        <w:rPr>
          <w:rFonts w:ascii="Times New Roman" w:hAnsi="Times New Roman"/>
          <w:b w:val="0"/>
          <w:sz w:val="22"/>
        </w:rPr>
        <w:t xml:space="preserve">Environmental evaluation introduces an additional distinction between energy and carbon emissions. An energy reduction and a carbon reduction need not have identical rankings when compilation and execution draw electricity with different carbon intensities. Carbon intensity represents emissions per unit of electricity and can vary across locations and times. Research on carbon aware data centers has used this variation to schedule flexible workloads [2]. Green Algorithms and systematic reporting frameworks likewise emphasize the assumptions and boundaries required to translate computational activity into a carbon estimate [3,4]. For compiler selection, the corresponding question is whether extra compilation work is justified by future execution savings under a specified carbon context.</w:t>
      </w:r>
    </w:p>
    <w:p>
      <w:pPr>
        <w:pStyle w:val="1"/>
        <w:widowControl/>
        <w:spacing w:after="120" w:line="276" w:lineRule="auto"/>
        <w:jc w:val="both"/>
      </w:pPr>
      <w:r>
        <w:rPr>
          <w:rFonts w:ascii="Times New Roman" w:hAnsi="Times New Roman"/>
          <w:b w:val="0"/>
          <w:sz w:val="22"/>
        </w:rPr>
        <w:t xml:space="preserve">Learning based optimization already uses program properties and empirical feedback to select transformations. MILEPOST GCC connected program features with optimization choices across programs and architectures [5]. Subsequent systems have studied domain specific scheduling, low level cost models, and reusable compiler optimization environments. These developments support the feasibility of empirical selection, but they do not make a small new predictor accurate automatically. A selector can implement a mathematically coherent objective while using predictions that fail on unseen programs. The quality of the prediction pipeline must therefore be evaluated separately from whether the selection code returns the expected answer in a constructed scenario.</w:t>
      </w:r>
    </w:p>
    <w:p>
      <w:pPr>
        <w:pStyle w:val="1"/>
        <w:widowControl/>
        <w:spacing w:after="120" w:line="276" w:lineRule="auto"/>
        <w:jc w:val="both"/>
      </w:pPr>
      <w:r>
        <w:rPr>
          <w:rFonts w:ascii="Times New Roman" w:hAnsi="Times New Roman"/>
          <w:b w:val="0"/>
          <w:sz w:val="22"/>
        </w:rPr>
        <w:t xml:space="preserve">This study investigated that distinction through an intentionally limited compiler. Green TAC translated a small C like language into three address code, generated three candidate strategies, and ranked them using a compilation plus repeated execution carbon objective. Its current energy terms were transparent feature based proxies rather than calibrated measurements. Runtime predictions were learned from recorded timing data, and their held out accuracy was reported even when the results were unfavorable. Hypothetical carbon intensities were supplied as scenario inputs; no live grid signal was used in the reported demonstrations.</w:t>
      </w:r>
    </w:p>
    <w:p>
      <w:pPr>
        <w:pStyle w:val="1"/>
        <w:widowControl/>
        <w:spacing w:after="120" w:line="276" w:lineRule="auto"/>
        <w:jc w:val="both"/>
      </w:pPr>
      <w:r>
        <w:rPr>
          <w:rFonts w:ascii="Times New Roman" w:hAnsi="Times New Roman"/>
          <w:b w:val="0"/>
          <w:sz w:val="22"/>
        </w:rPr>
        <w:t xml:space="preserve">The objective was to implement and assess a reproducible prototype for carbon aware strategy selection while identifying which conclusions its present evidence can support. The work made three concrete contributions:</w:t>
      </w:r>
    </w:p>
    <w:p>
      <w:pPr>
        <w:pStyle w:val="1"/>
        <w:widowControl/>
        <w:spacing w:after="120" w:line="276" w:lineRule="auto"/>
        <w:ind w:left="360" w:hanging="240"/>
        <w:jc w:val="both"/>
      </w:pPr>
      <w:r>
        <w:rPr>
          <w:rFonts w:ascii="Times New Roman" w:hAnsi="Times New Roman"/>
          <w:sz w:val="22"/>
        </w:rPr>
        <w:t xml:space="preserve">• An inspectable compiler and selector that combined separate compilation and execution carbon intensities, expected execution count, and a configurable predicted runtime limit across three existing optimization strategies.</w:t>
      </w:r>
    </w:p>
    <w:p>
      <w:pPr>
        <w:pStyle w:val="1"/>
        <w:widowControl/>
        <w:spacing w:after="120" w:line="276" w:lineRule="auto"/>
        <w:ind w:left="360" w:hanging="240"/>
        <w:jc w:val="both"/>
      </w:pPr>
      <w:r>
        <w:rPr>
          <w:rFonts w:ascii="Times New Roman" w:hAnsi="Times New Roman"/>
          <w:sz w:val="22"/>
        </w:rPr>
        <w:t xml:space="preserve">• A recorded timing and model export pipeline with 31 programs, 93 program strategy observations, program level separation during validation, and explicit retention of unsuccessful prediction results.</w:t>
      </w:r>
    </w:p>
    <w:p>
      <w:pPr>
        <w:pStyle w:val="1"/>
        <w:widowControl/>
        <w:spacing w:after="120" w:line="276" w:lineRule="auto"/>
        <w:ind w:left="360" w:hanging="240"/>
        <w:jc w:val="both"/>
      </w:pPr>
      <w:r>
        <w:rPr>
          <w:rFonts w:ascii="Times New Roman" w:hAnsi="Times New Roman"/>
          <w:sz w:val="22"/>
        </w:rPr>
        <w:t xml:space="preserve">• Deterministic sensitivity scenarios and a compilation walkthrough that exposed syntax trees, instruction rewrites, shared expression nodes, and strategy changes without treating proxy carbon values as measured emissions.</w:t>
      </w:r>
    </w:p>
    <w:p>
      <w:pPr>
        <w:pStyle w:val="1"/>
        <w:widowControl/>
        <w:spacing w:after="120" w:line="276" w:lineRule="auto"/>
        <w:jc w:val="both"/>
      </w:pPr>
      <w:r>
        <w:rPr>
          <w:rFonts w:ascii="Times New Roman" w:hAnsi="Times New Roman"/>
          <w:b w:val="0"/>
          <w:sz w:val="22"/>
        </w:rPr>
        <w:t xml:space="preserve">The contribution is an integrated prototype and an evidence based assessment, rather than a new constant folding algorithm, a new regression method, or demonstrated superiority over established compiler systems. Section 2 situates the design in related work. Section 3 defines the implemented method and experimental protocol. Section 4 reports static, timing, prediction, and scenario results. Section 5 discusses their implications and limitations, and Section 6 concludes.</w:t>
      </w:r>
    </w:p>
    <w:p>
      <w:pPr>
        <w:pStyle w:val="2"/>
        <w:keepNext/>
        <w:keepLines/>
        <w:widowControl/>
        <w:spacing w:before="320" w:after="120"/>
      </w:pPr>
      <w:r>
        <w:rPr>
          <w:rFonts w:ascii="Times New Roman" w:hAnsi="Times New Roman"/>
          <w:b/>
          <w:color w:val="1F3864"/>
          <w:sz w:val="26"/>
        </w:rPr>
        <w:t xml:space="preserve">2 Literature Review</w:t>
      </w:r>
    </w:p>
    <w:p>
      <w:pPr>
        <w:pStyle w:val="3"/>
        <w:keepNext/>
        <w:keepLines/>
        <w:widowControl/>
        <w:spacing w:before="220" w:after="120"/>
      </w:pPr>
      <w:r>
        <w:rPr>
          <w:rFonts w:ascii="Times New Roman" w:hAnsi="Times New Roman"/>
          <w:b/>
          <w:color w:val="1F3864"/>
          <w:sz w:val="23"/>
        </w:rPr>
        <w:t xml:space="preserve">2.1 Empirical compiler optimization</w:t>
      </w:r>
    </w:p>
    <w:p>
      <w:pPr>
        <w:pStyle w:val="1"/>
        <w:widowControl/>
        <w:spacing w:after="120" w:line="276" w:lineRule="auto"/>
        <w:jc w:val="both"/>
      </w:pPr>
      <w:r>
        <w:rPr>
          <w:rFonts w:ascii="Times New Roman" w:hAnsi="Times New Roman"/>
          <w:b w:val="0"/>
          <w:sz w:val="22"/>
        </w:rPr>
        <w:t xml:space="preserve">Empirical compiler research treats optimization as a decision problem whose best answer depends on both the workload and the target system. MILEPOST GCC used extracted program features to support learned optimization choices [5]. OpenTuner supplied an extensible framework for domain specific and multiobjective autotuning with ensembles of search techniques [6]. These systems motivate explicit treatment of search and optimization effort. Green TAC used only three fixed candidates, so it did not explore a large optimization space or claim the coverage of a general autotuning framework.</w:t>
      </w:r>
    </w:p>
    <w:p>
      <w:pPr>
        <w:pStyle w:val="1"/>
        <w:widowControl/>
        <w:spacing w:after="120" w:line="276" w:lineRule="auto"/>
        <w:jc w:val="both"/>
      </w:pPr>
      <w:r>
        <w:rPr>
          <w:rFonts w:ascii="Times New Roman" w:hAnsi="Times New Roman"/>
          <w:b w:val="0"/>
          <w:sz w:val="22"/>
        </w:rPr>
        <w:t xml:space="preserve">Domain specific compilers demonstrate how richer representations can improve cost guided decisions. The Halide autoscheduler used tree search guided by learned runtime costs over generated programs and schedules [7]. TVM combined graph and operator optimizations with learned cost modeling across hardware back ends [8], while Ansor used hierarchical program sampling, evolutionary search, and a learned cost model for tensor program generation [9]. These works address substantially more complex workloads than the arithmetic and control flow fragments studied here. Their relevance is the connection between representations, measured targets, and decision quality, rather than a directly comparable performance baseline.</w:t>
      </w:r>
    </w:p>
    <w:p>
      <w:pPr>
        <w:pStyle w:val="1"/>
        <w:widowControl/>
        <w:spacing w:after="120" w:line="276" w:lineRule="auto"/>
        <w:jc w:val="both"/>
      </w:pPr>
      <w:r>
        <w:rPr>
          <w:rFonts w:ascii="Times New Roman" w:hAnsi="Times New Roman"/>
          <w:b w:val="0"/>
          <w:sz w:val="22"/>
        </w:rPr>
        <w:t xml:space="preserve">More recent compiler learning systems extend both the optimization interface and the model class. MLGO integrated learned decisions into LLVM, initially examining inlining for code size [10]. CompilerGym provided reusable environments and datasets for optimization research [11]. BaCO used Bayesian optimization tailored to compiler tuning spaces [12]. CompilerDream studied a learned compiler world model [13], and large language models have also been investigated for compiler option selection and code size optimization [14]. Green TAC did not implement these model classes. A linear predictor was chosen to keep coefficients and export behavior inspectable, with predictive adequacy left to validation.</w:t>
      </w:r>
    </w:p>
    <w:p>
      <w:pPr>
        <w:pStyle w:val="3"/>
        <w:keepNext/>
        <w:keepLines/>
        <w:widowControl/>
        <w:spacing w:before="220" w:after="120"/>
      </w:pPr>
      <w:r>
        <w:rPr>
          <w:rFonts w:ascii="Times New Roman" w:hAnsi="Times New Roman"/>
          <w:b/>
          <w:color w:val="1F3864"/>
          <w:sz w:val="23"/>
        </w:rPr>
        <w:t xml:space="preserve">2.2 Energy and carbon aware computation</w:t>
      </w:r>
    </w:p>
    <w:p>
      <w:pPr>
        <w:pStyle w:val="1"/>
        <w:widowControl/>
        <w:spacing w:after="120" w:line="276" w:lineRule="auto"/>
        <w:jc w:val="both"/>
      </w:pPr>
      <w:r>
        <w:rPr>
          <w:rFonts w:ascii="Times New Roman" w:hAnsi="Times New Roman"/>
          <w:b w:val="0"/>
          <w:sz w:val="22"/>
        </w:rPr>
        <w:t xml:space="preserve">Pallister and colleagues examined the relationship between compiler options and energy consumption on embedded platforms, showing why compiler energy evaluation requires platform specific evidence [15]. This is directly relevant to the present study: changes in intermediate instruction count cannot substitute for measuring physical energy. An arithmetic simplification can alter execution time, memory behavior, and processor activity in different ways. Green TAC therefore kept measured timing fields separate from missing energy fields and labeled feature based energy formulas as proxies.</w:t>
      </w:r>
    </w:p>
    <w:p>
      <w:pPr>
        <w:pStyle w:val="1"/>
        <w:widowControl/>
        <w:spacing w:after="120" w:line="276" w:lineRule="auto"/>
        <w:jc w:val="both"/>
      </w:pPr>
      <w:r>
        <w:rPr>
          <w:rFonts w:ascii="Times New Roman" w:hAnsi="Times New Roman"/>
          <w:b w:val="0"/>
          <w:sz w:val="22"/>
        </w:rPr>
        <w:t xml:space="preserve">Carbon aware scheduling changes when or where work executes. Radovanovic and colleagues described a production data center management system driven by carbon forecasts and workload flexibility [2]. CarbonScaler instead varied the server allocation of elastic jobs in response to carbon signals [16]. Hall and colleagues examined carbon aware scheduling with probabilistic performance guarantees using distributionally robust optimization [17]. These approaches differ from Green TAC in their decision variables: the prototype selected a compiler strategy rather than a job time, location, or resource allocation. It also enforced only a deterministic constraint on point predictions, without the uncertainty treatment required for a probabilistic guarantee.</w:t>
      </w:r>
    </w:p>
    <w:p>
      <w:pPr>
        <w:pStyle w:val="1"/>
        <w:widowControl/>
        <w:spacing w:after="120" w:line="276" w:lineRule="auto"/>
        <w:jc w:val="both"/>
      </w:pPr>
      <w:r>
        <w:rPr>
          <w:rFonts w:ascii="Times New Roman" w:hAnsi="Times New Roman"/>
          <w:b w:val="0"/>
          <w:sz w:val="22"/>
        </w:rPr>
        <w:t xml:space="preserve">Accounting frameworks address another part of the problem. Green Algorithms estimated computational footprints from resource and infrastructure assumptions [3], systematic reporting work emphasized reproducible energy and carbon disclosures [4], and Carbontracker monitored and predicted deep learning training footprints [18]. The GREENER principles and practical sustainability guidance advocate transparent reporting and consideration of the wider computational process [19,20]. Research on the life cycle footprint of computing further distinguishes operational electricity from embodied hardware emissions [21]. Green TAC modeled a narrow operational compilation and execution boundary; it did not compute a complete application life cycle footprint.</w:t>
      </w:r>
    </w:p>
    <w:p>
      <w:pPr>
        <w:pStyle w:val="3"/>
        <w:keepNext/>
        <w:keepLines/>
        <w:widowControl/>
        <w:spacing w:before="220" w:after="120"/>
      </w:pPr>
      <w:r>
        <w:rPr>
          <w:rFonts w:ascii="Times New Roman" w:hAnsi="Times New Roman"/>
          <w:b/>
          <w:color w:val="1F3864"/>
          <w:sz w:val="23"/>
        </w:rPr>
        <w:t xml:space="preserve">2.3 Measurement and predictive validation</w:t>
      </w:r>
    </w:p>
    <w:p>
      <w:pPr>
        <w:pStyle w:val="1"/>
        <w:widowControl/>
        <w:spacing w:after="120" w:line="276" w:lineRule="auto"/>
        <w:jc w:val="both"/>
      </w:pPr>
      <w:r>
        <w:rPr>
          <w:rFonts w:ascii="Times New Roman" w:hAnsi="Times New Roman"/>
          <w:b w:val="0"/>
          <w:sz w:val="22"/>
        </w:rPr>
        <w:t xml:space="preserve">A meaningful compiler policy depends on valid measurements and a defensible evaluation split. Kalibera and Jones emphasized repetition at appropriate experimental levels and the need to characterize uncertainty when benchmarking systems [22]. Repeated calls inside one process can improve timer resolution, but do not by themselves sample variability across process launches, builds, or machines. This distinction is especially important for the present tiny workloads, where the function call and timing harness can be substantial relative to the computation under study.</w:t>
      </w:r>
    </w:p>
    <w:p>
      <w:pPr>
        <w:pStyle w:val="1"/>
        <w:widowControl/>
        <w:spacing w:after="120" w:line="276" w:lineRule="auto"/>
        <w:jc w:val="both"/>
      </w:pPr>
      <w:r>
        <w:rPr>
          <w:rFonts w:ascii="Times New Roman" w:hAnsi="Times New Roman"/>
          <w:b w:val="0"/>
          <w:sz w:val="22"/>
        </w:rPr>
        <w:t xml:space="preserve">The Software Carbon Intensity specification requires explicit accounting boundaries and connects operational energy with a carbon intensity factor while also addressing embodied emissions [23]. Linux powercap documentation exposes energy counters for supported domains, including the Intel Running Average Power Limit interface [24]. These sources inform the proposed measurement path, but their existence does not mean that the reported Windows study collected physical energy. The present dataset did not contain usable energy targets. Scikit learn supplied the regression and split implementation [25]; the choice of that library provides reproducibility, not evidence that the fitted model generalizes.</w:t>
      </w:r>
    </w:p>
    <w:p>
      <w:pPr>
        <w:pStyle w:val="3"/>
        <w:keepNext/>
        <w:keepLines/>
        <w:widowControl/>
        <w:spacing w:before="220" w:after="120"/>
      </w:pPr>
      <w:r>
        <w:rPr>
          <w:rFonts w:ascii="Times New Roman" w:hAnsi="Times New Roman"/>
          <w:b/>
          <w:color w:val="1F3864"/>
          <w:sz w:val="23"/>
        </w:rPr>
        <w:t xml:space="preserve">2.4 Scope of the research gap</w:t>
      </w:r>
    </w:p>
    <w:p>
      <w:pPr>
        <w:pStyle w:val="1"/>
        <w:widowControl/>
        <w:spacing w:after="120" w:line="276" w:lineRule="auto"/>
        <w:jc w:val="both"/>
      </w:pPr>
      <w:r>
        <w:rPr>
          <w:rFonts w:ascii="Times New Roman" w:hAnsi="Times New Roman"/>
          <w:b w:val="0"/>
          <w:sz w:val="22"/>
        </w:rPr>
        <w:t xml:space="preserve">Table 1 contrasts the decision variables and evidence boundaries of representative approaches. The operational question addressed here was whether a small compiler could make the compilation versus repeated execution trade off explicit and reveal the limits of its own current predictor. The study does not establish that this combined objective is unprecedented. Its narrower role is to provide an accessible implementation in which transformation effects, cost assumptions, and failed predictive validation can all be inspected.</w:t>
      </w:r>
    </w:p>
    <w:p>
      <w:pPr>
        <w:pStyle w:val="1"/>
        <w:keepNext/>
        <w:widowControl/>
        <w:spacing w:before="140" w:after="80"/>
      </w:pPr>
      <w:r>
        <w:rPr>
          <w:rFonts w:ascii="Times New Roman" w:hAnsi="Times New Roman"/>
          <w:b/>
          <w:sz w:val="19"/>
        </w:rPr>
        <w:t xml:space="preserve">Table 1. Representative related approaches and the scope of Green TAC.</w:t>
      </w:r>
    </w:p>
    <w:tbl>
      <w:tblPr>
        <w:tblStyle w:val="9"/>
        <w:tblW w:w="9026"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90" w:type="dxa"/>
          <w:left w:w="100" w:type="dxa"/>
          <w:bottom w:w="90" w:type="dxa"/>
          <w:right w:w="100" w:type="dxa"/>
        </w:tblCellMar>
      </w:tblPr>
      <w:tblGrid>
        <w:gridCol w:w="1700"/>
        <w:gridCol w:w="2000"/>
        <w:gridCol w:w="2350"/>
        <w:gridCol w:w="2976"/>
      </w:tblGrid>
      <w:tr>
        <w:trPr>
          <w:cantSplit/>
          <w:tblHeader/>
        </w:trPr>
        <w:tc>
          <w:tcPr>
            <w:tcW w:w="1700" w:type="dxa"/>
            <w:vAlign w:val="center"/>
            <w:shd w:fill="1F3864"/>
          </w:tcPr>
          <w:p>
            <w:pPr>
              <w:pStyle w:val="1"/>
              <w:widowControl/>
              <w:spacing w:after="0" w:line="240" w:lineRule="auto"/>
              <w:jc w:val="left"/>
            </w:pPr>
            <w:r>
              <w:rPr>
                <w:rFonts w:ascii="Times New Roman" w:hAnsi="Times New Roman"/>
                <w:b/>
                <w:color w:val="FFFFFF"/>
                <w:sz w:val="18"/>
              </w:rPr>
              <w:t xml:space="preserve">Study</w:t>
            </w:r>
          </w:p>
        </w:tc>
        <w:tc>
          <w:tcPr>
            <w:tcW w:w="2000" w:type="dxa"/>
            <w:vAlign w:val="center"/>
            <w:shd w:fill="1F3864"/>
          </w:tcPr>
          <w:p>
            <w:pPr>
              <w:pStyle w:val="1"/>
              <w:widowControl/>
              <w:spacing w:after="0" w:line="240" w:lineRule="auto"/>
              <w:jc w:val="left"/>
            </w:pPr>
            <w:r>
              <w:rPr>
                <w:rFonts w:ascii="Times New Roman" w:hAnsi="Times New Roman"/>
                <w:b/>
                <w:color w:val="FFFFFF"/>
                <w:sz w:val="18"/>
              </w:rPr>
              <w:t xml:space="preserve">Decision or method</w:t>
            </w:r>
          </w:p>
        </w:tc>
        <w:tc>
          <w:tcPr>
            <w:tcW w:w="2350" w:type="dxa"/>
            <w:vAlign w:val="center"/>
            <w:shd w:fill="1F3864"/>
          </w:tcPr>
          <w:p>
            <w:pPr>
              <w:pStyle w:val="1"/>
              <w:widowControl/>
              <w:spacing w:after="0" w:line="240" w:lineRule="auto"/>
              <w:jc w:val="left"/>
            </w:pPr>
            <w:r>
              <w:rPr>
                <w:rFonts w:ascii="Times New Roman" w:hAnsi="Times New Roman"/>
                <w:b/>
                <w:color w:val="FFFFFF"/>
                <w:sz w:val="18"/>
              </w:rPr>
              <w:t xml:space="preserve">Evidence setting</w:t>
            </w:r>
          </w:p>
        </w:tc>
        <w:tc>
          <w:tcPr>
            <w:tcW w:w="2976" w:type="dxa"/>
            <w:vAlign w:val="center"/>
            <w:shd w:fill="1F3864"/>
          </w:tcPr>
          <w:p>
            <w:pPr>
              <w:pStyle w:val="1"/>
              <w:widowControl/>
              <w:spacing w:after="0" w:line="240" w:lineRule="auto"/>
              <w:jc w:val="left"/>
            </w:pPr>
            <w:r>
              <w:rPr>
                <w:rFonts w:ascii="Times New Roman" w:hAnsi="Times New Roman"/>
                <w:b/>
                <w:color w:val="FFFFFF"/>
                <w:sz w:val="18"/>
              </w:rPr>
              <w:t xml:space="preserve">Relation to this study</w:t>
            </w:r>
          </w:p>
        </w:tc>
      </w:tr>
      <w:tr>
        <w:trPr>
          <w:cantSplit/>
        </w:trPr>
        <w:tc>
          <w:tcPr>
            <w:tcW w:w="1700" w:type="dxa"/>
            <w:vAlign w:val="center"/>
            <w:shd w:fill="FFFFFF"/>
          </w:tcPr>
          <w:p>
            <w:pPr>
              <w:pStyle w:val="1"/>
              <w:widowControl/>
              <w:spacing w:after="0" w:line="240" w:lineRule="auto"/>
              <w:jc w:val="left"/>
            </w:pPr>
            <w:r>
              <w:rPr>
                <w:rFonts w:ascii="Times New Roman" w:hAnsi="Times New Roman"/>
                <w:color w:val="000000"/>
                <w:sz w:val="18"/>
              </w:rPr>
              <w:t xml:space="preserve">MILEPOST GCC [5]</w:t>
            </w:r>
          </w:p>
        </w:tc>
        <w:tc>
          <w:tcPr>
            <w:tcW w:w="2000" w:type="dxa"/>
            <w:vAlign w:val="center"/>
            <w:shd w:fill="FFFFFF"/>
          </w:tcPr>
          <w:p>
            <w:pPr>
              <w:pStyle w:val="1"/>
              <w:widowControl/>
              <w:spacing w:after="0" w:line="240" w:lineRule="auto"/>
              <w:jc w:val="left"/>
            </w:pPr>
            <w:r>
              <w:rPr>
                <w:rFonts w:ascii="Times New Roman" w:hAnsi="Times New Roman"/>
                <w:color w:val="000000"/>
                <w:sz w:val="18"/>
              </w:rPr>
              <w:t xml:space="preserve">Learned optimization choices</w:t>
            </w:r>
          </w:p>
        </w:tc>
        <w:tc>
          <w:tcPr>
            <w:tcW w:w="2350" w:type="dxa"/>
            <w:vAlign w:val="center"/>
            <w:shd w:fill="FFFFFF"/>
          </w:tcPr>
          <w:p>
            <w:pPr>
              <w:pStyle w:val="1"/>
              <w:widowControl/>
              <w:spacing w:after="0" w:line="240" w:lineRule="auto"/>
              <w:jc w:val="left"/>
            </w:pPr>
            <w:r>
              <w:rPr>
                <w:rFonts w:ascii="Times New Roman" w:hAnsi="Times New Roman"/>
                <w:color w:val="000000"/>
                <w:sz w:val="18"/>
              </w:rPr>
              <w:t xml:space="preserve">Programs and target architectures</w:t>
            </w:r>
          </w:p>
        </w:tc>
        <w:tc>
          <w:tcPr>
            <w:tcW w:w="2976" w:type="dxa"/>
            <w:vAlign w:val="center"/>
            <w:shd w:fill="FFFFFF"/>
          </w:tcPr>
          <w:p>
            <w:pPr>
              <w:pStyle w:val="1"/>
              <w:widowControl/>
              <w:spacing w:after="0" w:line="240" w:lineRule="auto"/>
              <w:jc w:val="left"/>
            </w:pPr>
            <w:r>
              <w:rPr>
                <w:rFonts w:ascii="Times New Roman" w:hAnsi="Times New Roman"/>
                <w:color w:val="000000"/>
                <w:sz w:val="18"/>
              </w:rPr>
              <w:t xml:space="preserve">Motivates feature based selection</w:t>
            </w:r>
          </w:p>
        </w:tc>
      </w:tr>
      <w:tr>
        <w:trPr>
          <w:cantSplit/>
        </w:trPr>
        <w:tc>
          <w:tcPr>
            <w:tcW w:w="1700" w:type="dxa"/>
            <w:vAlign w:val="center"/>
            <w:shd w:fill="F2F2F2"/>
          </w:tcPr>
          <w:p>
            <w:pPr>
              <w:pStyle w:val="1"/>
              <w:widowControl/>
              <w:spacing w:after="0" w:line="240" w:lineRule="auto"/>
              <w:jc w:val="left"/>
            </w:pPr>
            <w:r>
              <w:rPr>
                <w:rFonts w:ascii="Times New Roman" w:hAnsi="Times New Roman"/>
                <w:color w:val="000000"/>
                <w:sz w:val="18"/>
              </w:rPr>
              <w:t xml:space="preserve">Halide and Ansor [7,9]</w:t>
            </w:r>
          </w:p>
        </w:tc>
        <w:tc>
          <w:tcPr>
            <w:tcW w:w="2000" w:type="dxa"/>
            <w:vAlign w:val="center"/>
            <w:shd w:fill="F2F2F2"/>
          </w:tcPr>
          <w:p>
            <w:pPr>
              <w:pStyle w:val="1"/>
              <w:widowControl/>
              <w:spacing w:after="0" w:line="240" w:lineRule="auto"/>
              <w:jc w:val="left"/>
            </w:pPr>
            <w:r>
              <w:rPr>
                <w:rFonts w:ascii="Times New Roman" w:hAnsi="Times New Roman"/>
                <w:color w:val="000000"/>
                <w:sz w:val="18"/>
              </w:rPr>
              <w:t xml:space="preserve">Schedule and tensor program search</w:t>
            </w:r>
          </w:p>
        </w:tc>
        <w:tc>
          <w:tcPr>
            <w:tcW w:w="2350" w:type="dxa"/>
            <w:vAlign w:val="center"/>
            <w:shd w:fill="F2F2F2"/>
          </w:tcPr>
          <w:p>
            <w:pPr>
              <w:pStyle w:val="1"/>
              <w:widowControl/>
              <w:spacing w:after="0" w:line="240" w:lineRule="auto"/>
              <w:jc w:val="left"/>
            </w:pPr>
            <w:r>
              <w:rPr>
                <w:rFonts w:ascii="Times New Roman" w:hAnsi="Times New Roman"/>
                <w:color w:val="000000"/>
                <w:sz w:val="18"/>
              </w:rPr>
              <w:t xml:space="preserve">Specialized numerical workloads</w:t>
            </w:r>
          </w:p>
        </w:tc>
        <w:tc>
          <w:tcPr>
            <w:tcW w:w="2976" w:type="dxa"/>
            <w:vAlign w:val="center"/>
            <w:shd w:fill="F2F2F2"/>
          </w:tcPr>
          <w:p>
            <w:pPr>
              <w:pStyle w:val="1"/>
              <w:widowControl/>
              <w:spacing w:after="0" w:line="240" w:lineRule="auto"/>
              <w:jc w:val="left"/>
            </w:pPr>
            <w:r>
              <w:rPr>
                <w:rFonts w:ascii="Times New Roman" w:hAnsi="Times New Roman"/>
                <w:color w:val="000000"/>
                <w:sz w:val="18"/>
              </w:rPr>
              <w:t xml:space="preserve">Richer search spaces and cost models</w:t>
            </w:r>
          </w:p>
        </w:tc>
      </w:tr>
      <w:tr>
        <w:trPr>
          <w:cantSplit/>
        </w:trPr>
        <w:tc>
          <w:tcPr>
            <w:tcW w:w="1700" w:type="dxa"/>
            <w:vAlign w:val="center"/>
            <w:shd w:fill="FFFFFF"/>
          </w:tcPr>
          <w:p>
            <w:pPr>
              <w:pStyle w:val="1"/>
              <w:widowControl/>
              <w:spacing w:after="0" w:line="240" w:lineRule="auto"/>
              <w:jc w:val="left"/>
            </w:pPr>
            <w:r>
              <w:rPr>
                <w:rFonts w:ascii="Times New Roman" w:hAnsi="Times New Roman"/>
                <w:color w:val="000000"/>
                <w:sz w:val="18"/>
              </w:rPr>
              <w:t xml:space="preserve">Pallister et al. [15]</w:t>
            </w:r>
          </w:p>
        </w:tc>
        <w:tc>
          <w:tcPr>
            <w:tcW w:w="2000" w:type="dxa"/>
            <w:vAlign w:val="center"/>
            <w:shd w:fill="FFFFFF"/>
          </w:tcPr>
          <w:p>
            <w:pPr>
              <w:pStyle w:val="1"/>
              <w:widowControl/>
              <w:spacing w:after="0" w:line="240" w:lineRule="auto"/>
              <w:jc w:val="left"/>
            </w:pPr>
            <w:r>
              <w:rPr>
                <w:rFonts w:ascii="Times New Roman" w:hAnsi="Times New Roman"/>
                <w:color w:val="000000"/>
                <w:sz w:val="18"/>
              </w:rPr>
              <w:t xml:space="preserve">Compiler options and energy</w:t>
            </w:r>
          </w:p>
        </w:tc>
        <w:tc>
          <w:tcPr>
            <w:tcW w:w="2350" w:type="dxa"/>
            <w:vAlign w:val="center"/>
            <w:shd w:fill="FFFFFF"/>
          </w:tcPr>
          <w:p>
            <w:pPr>
              <w:pStyle w:val="1"/>
              <w:widowControl/>
              <w:spacing w:after="0" w:line="240" w:lineRule="auto"/>
              <w:jc w:val="left"/>
            </w:pPr>
            <w:r>
              <w:rPr>
                <w:rFonts w:ascii="Times New Roman" w:hAnsi="Times New Roman"/>
                <w:color w:val="000000"/>
                <w:sz w:val="18"/>
              </w:rPr>
              <w:t xml:space="preserve">Measured embedded platforms</w:t>
            </w:r>
          </w:p>
        </w:tc>
        <w:tc>
          <w:tcPr>
            <w:tcW w:w="2976" w:type="dxa"/>
            <w:vAlign w:val="center"/>
            <w:shd w:fill="FFFFFF"/>
          </w:tcPr>
          <w:p>
            <w:pPr>
              <w:pStyle w:val="1"/>
              <w:widowControl/>
              <w:spacing w:after="0" w:line="240" w:lineRule="auto"/>
              <w:jc w:val="left"/>
            </w:pPr>
            <w:r>
              <w:rPr>
                <w:rFonts w:ascii="Times New Roman" w:hAnsi="Times New Roman"/>
                <w:color w:val="000000"/>
                <w:sz w:val="18"/>
              </w:rPr>
              <w:t xml:space="preserve">Motivates physical energy validation</w:t>
            </w:r>
          </w:p>
        </w:tc>
      </w:tr>
      <w:tr>
        <w:trPr>
          <w:cantSplit/>
        </w:trPr>
        <w:tc>
          <w:tcPr>
            <w:tcW w:w="1700" w:type="dxa"/>
            <w:vAlign w:val="center"/>
            <w:shd w:fill="F2F2F2"/>
          </w:tcPr>
          <w:p>
            <w:pPr>
              <w:pStyle w:val="1"/>
              <w:widowControl/>
              <w:spacing w:after="0" w:line="240" w:lineRule="auto"/>
              <w:jc w:val="left"/>
            </w:pPr>
            <w:r>
              <w:rPr>
                <w:rFonts w:ascii="Times New Roman" w:hAnsi="Times New Roman"/>
                <w:color w:val="000000"/>
                <w:sz w:val="18"/>
              </w:rPr>
              <w:t xml:space="preserve">CarbonScaler [16]</w:t>
            </w:r>
          </w:p>
        </w:tc>
        <w:tc>
          <w:tcPr>
            <w:tcW w:w="2000" w:type="dxa"/>
            <w:vAlign w:val="center"/>
            <w:shd w:fill="F2F2F2"/>
          </w:tcPr>
          <w:p>
            <w:pPr>
              <w:pStyle w:val="1"/>
              <w:widowControl/>
              <w:spacing w:after="0" w:line="240" w:lineRule="auto"/>
              <w:jc w:val="left"/>
            </w:pPr>
            <w:r>
              <w:rPr>
                <w:rFonts w:ascii="Times New Roman" w:hAnsi="Times New Roman"/>
                <w:color w:val="000000"/>
                <w:sz w:val="18"/>
              </w:rPr>
              <w:t xml:space="preserve">Elastic job resource allocation</w:t>
            </w:r>
          </w:p>
        </w:tc>
        <w:tc>
          <w:tcPr>
            <w:tcW w:w="2350" w:type="dxa"/>
            <w:vAlign w:val="center"/>
            <w:shd w:fill="F2F2F2"/>
          </w:tcPr>
          <w:p>
            <w:pPr>
              <w:pStyle w:val="1"/>
              <w:widowControl/>
              <w:spacing w:after="0" w:line="240" w:lineRule="auto"/>
              <w:jc w:val="left"/>
            </w:pPr>
            <w:r>
              <w:rPr>
                <w:rFonts w:ascii="Times New Roman" w:hAnsi="Times New Roman"/>
                <w:color w:val="000000"/>
                <w:sz w:val="18"/>
              </w:rPr>
              <w:t xml:space="preserve">Cloud workloads and carbon signals</w:t>
            </w:r>
          </w:p>
        </w:tc>
        <w:tc>
          <w:tcPr>
            <w:tcW w:w="2976" w:type="dxa"/>
            <w:vAlign w:val="center"/>
            <w:shd w:fill="F2F2F2"/>
          </w:tcPr>
          <w:p>
            <w:pPr>
              <w:pStyle w:val="1"/>
              <w:widowControl/>
              <w:spacing w:after="0" w:line="240" w:lineRule="auto"/>
              <w:jc w:val="left"/>
            </w:pPr>
            <w:r>
              <w:rPr>
                <w:rFonts w:ascii="Times New Roman" w:hAnsi="Times New Roman"/>
                <w:color w:val="000000"/>
                <w:sz w:val="18"/>
              </w:rPr>
              <w:t xml:space="preserve">Different carbon aware decision variable</w:t>
            </w:r>
          </w:p>
        </w:tc>
      </w:tr>
      <w:tr>
        <w:trPr>
          <w:cantSplit/>
        </w:trPr>
        <w:tc>
          <w:tcPr>
            <w:tcW w:w="1700" w:type="dxa"/>
            <w:vAlign w:val="center"/>
            <w:shd w:fill="FFFFFF"/>
          </w:tcPr>
          <w:p>
            <w:pPr>
              <w:pStyle w:val="1"/>
              <w:widowControl/>
              <w:spacing w:after="0" w:line="240" w:lineRule="auto"/>
              <w:jc w:val="left"/>
            </w:pPr>
            <w:r>
              <w:rPr>
                <w:rFonts w:ascii="Times New Roman" w:hAnsi="Times New Roman"/>
                <w:color w:val="000000"/>
                <w:sz w:val="18"/>
              </w:rPr>
              <w:t xml:space="preserve">Green TAC</w:t>
            </w:r>
          </w:p>
        </w:tc>
        <w:tc>
          <w:tcPr>
            <w:tcW w:w="2000" w:type="dxa"/>
            <w:vAlign w:val="center"/>
            <w:shd w:fill="FFFFFF"/>
          </w:tcPr>
          <w:p>
            <w:pPr>
              <w:pStyle w:val="1"/>
              <w:widowControl/>
              <w:spacing w:after="0" w:line="240" w:lineRule="auto"/>
              <w:jc w:val="left"/>
            </w:pPr>
            <w:r>
              <w:rPr>
                <w:rFonts w:ascii="Times New Roman" w:hAnsi="Times New Roman"/>
                <w:color w:val="000000"/>
                <w:sz w:val="18"/>
              </w:rPr>
              <w:t xml:space="preserve">Three fixed TAC strategies</w:t>
            </w:r>
          </w:p>
        </w:tc>
        <w:tc>
          <w:tcPr>
            <w:tcW w:w="2350" w:type="dxa"/>
            <w:vAlign w:val="center"/>
            <w:shd w:fill="FFFFFF"/>
          </w:tcPr>
          <w:p>
            <w:pPr>
              <w:pStyle w:val="1"/>
              <w:widowControl/>
              <w:spacing w:after="0" w:line="240" w:lineRule="auto"/>
              <w:jc w:val="left"/>
            </w:pPr>
            <w:r>
              <w:rPr>
                <w:rFonts w:ascii="Times New Roman" w:hAnsi="Times New Roman"/>
                <w:color w:val="000000"/>
                <w:sz w:val="18"/>
              </w:rPr>
              <w:t xml:space="preserve">31 small programs; timing plus proxies</w:t>
            </w:r>
          </w:p>
        </w:tc>
        <w:tc>
          <w:tcPr>
            <w:tcW w:w="2976" w:type="dxa"/>
            <w:vAlign w:val="center"/>
            <w:shd w:fill="FFFFFF"/>
          </w:tcPr>
          <w:p>
            <w:pPr>
              <w:pStyle w:val="1"/>
              <w:widowControl/>
              <w:spacing w:after="0" w:line="240" w:lineRule="auto"/>
              <w:jc w:val="left"/>
            </w:pPr>
            <w:r>
              <w:rPr>
                <w:rFonts w:ascii="Times New Roman" w:hAnsi="Times New Roman"/>
                <w:color w:val="000000"/>
                <w:sz w:val="18"/>
              </w:rPr>
              <w:t xml:space="preserve">Explicit phase costs; predictive limits reported</w:t>
            </w:r>
          </w:p>
        </w:tc>
      </w:tr>
    </w:tbl>
    <w:p>
      <w:pPr>
        <w:pStyle w:val="1"/>
        <w:widowControl/>
        <w:spacing w:after="60" w:line="60" w:lineRule="exact"/>
      </w:pPr>
      <w:r>
        <w:rPr>
          <w:rFonts w:ascii="Times New Roman" w:hAnsi="Times New Roman"/>
          <w:sz w:val="22"/>
        </w:rPr>
        <w:t xml:space="preserve"/>
      </w:r>
    </w:p>
    <w:p>
      <w:pPr>
        <w:pStyle w:val="2"/>
        <w:keepNext/>
        <w:keepLines/>
        <w:widowControl/>
        <w:spacing w:before="320" w:after="120"/>
      </w:pPr>
      <w:r>
        <w:rPr>
          <w:rFonts w:ascii="Times New Roman" w:hAnsi="Times New Roman"/>
          <w:b/>
          <w:color w:val="1F3864"/>
          <w:sz w:val="26"/>
        </w:rPr>
        <w:t xml:space="preserve">3 Methodology</w:t>
      </w:r>
    </w:p>
    <w:p>
      <w:pPr>
        <w:pStyle w:val="3"/>
        <w:keepNext/>
        <w:keepLines/>
        <w:widowControl/>
        <w:spacing w:before="220" w:after="120"/>
      </w:pPr>
      <w:r>
        <w:rPr>
          <w:rFonts w:ascii="Times New Roman" w:hAnsi="Times New Roman"/>
          <w:b/>
          <w:color w:val="1F3864"/>
          <w:sz w:val="23"/>
        </w:rPr>
        <w:t xml:space="preserve">3.1 Problem formulation</w:t>
      </w:r>
    </w:p>
    <w:p>
      <w:pPr>
        <w:pStyle w:val="1"/>
        <w:widowControl/>
        <w:spacing w:after="120" w:line="276" w:lineRule="auto"/>
        <w:jc w:val="both"/>
      </w:pPr>
      <w:r>
        <w:rPr>
          <w:rFonts w:ascii="Times New Roman" w:hAnsi="Times New Roman"/>
          <w:b w:val="0"/>
          <w:sz w:val="22"/>
        </w:rPr>
        <w:t xml:space="preserve">Let P denote an input program and S = {baseline, lightweight, dag} the candidate set. Let N be the expected number of complete executions of the generated program. For strategy s, E</w:t>
      </w:r>
      <w:r>
        <w:rPr>
          <w:rFonts w:ascii="Times New Roman" w:hAnsi="Times New Roman"/>
          <w:b w:val="0"/>
          <w:sz w:val="22"/>
          <w:vertAlign w:val="subscript"/>
        </w:rPr>
        <w:t>c</w:t>
      </w:r>
      <w:r>
        <w:rPr>
          <w:rFonts w:ascii="Times New Roman" w:hAnsi="Times New Roman"/>
          <w:b w:val="0"/>
          <w:sz w:val="22"/>
        </w:rPr>
        <w:t xml:space="preserve">(s) is estimated compilation energy in joules, E</w:t>
      </w:r>
      <w:r>
        <w:rPr>
          <w:rFonts w:ascii="Times New Roman" w:hAnsi="Times New Roman"/>
          <w:b w:val="0"/>
          <w:sz w:val="22"/>
          <w:vertAlign w:val="subscript"/>
        </w:rPr>
        <w:t>r</w:t>
      </w:r>
      <w:r>
        <w:rPr>
          <w:rFonts w:ascii="Times New Roman" w:hAnsi="Times New Roman"/>
          <w:b w:val="0"/>
          <w:sz w:val="22"/>
        </w:rPr>
        <w:t xml:space="preserve">(s) is estimated energy per execution in joules, and T</w:t>
      </w:r>
      <w:r>
        <w:rPr>
          <w:rFonts w:ascii="Times New Roman" w:hAnsi="Times New Roman"/>
          <w:b w:val="0"/>
          <w:sz w:val="22"/>
          <w:vertAlign w:val="subscript"/>
        </w:rPr>
        <w:t>r</w:t>
      </w:r>
      <w:r>
        <w:rPr>
          <w:rFonts w:ascii="Times New Roman" w:hAnsi="Times New Roman"/>
          <w:b w:val="0"/>
          <w:sz w:val="22"/>
        </w:rPr>
        <w:t xml:space="preserve">(s) is predicted runtime in milliseconds. I</w:t>
      </w:r>
      <w:r>
        <w:rPr>
          <w:rFonts w:ascii="Times New Roman" w:hAnsi="Times New Roman"/>
          <w:b w:val="0"/>
          <w:sz w:val="22"/>
          <w:vertAlign w:val="subscript"/>
        </w:rPr>
        <w:t>c</w:t>
      </w:r>
      <w:r>
        <w:rPr>
          <w:rFonts w:ascii="Times New Roman" w:hAnsi="Times New Roman"/>
          <w:b w:val="0"/>
          <w:sz w:val="22"/>
        </w:rPr>
        <w:t xml:space="preserve"> and I</w:t>
      </w:r>
      <w:r>
        <w:rPr>
          <w:rFonts w:ascii="Times New Roman" w:hAnsi="Times New Roman"/>
          <w:b w:val="0"/>
          <w:sz w:val="22"/>
          <w:vertAlign w:val="subscript"/>
        </w:rPr>
        <w:t>r</w:t>
      </w:r>
      <w:r>
        <w:rPr>
          <w:rFonts w:ascii="Times New Roman" w:hAnsi="Times New Roman"/>
          <w:b w:val="0"/>
          <w:sz w:val="22"/>
        </w:rPr>
        <w:t xml:space="preserve"> denote compilation and execution electricity carbon intensities in grams of carbon dioxide equivalent per kilowatt hour. The total operational carbon objective was defined as given in Eq. (1). A hat denotes an estimate; under the present configuration both energy estimates were proxy quantities.</w:t>
      </w:r>
    </w:p>
    <w:p>
      <w:pPr>
        <w:pStyle w:val="1"/>
        <w:keepLines/>
        <w:tabs>
          <w:tab w:val="center" w:pos="4513"/>
          <w:tab w:val="right" w:pos="9026"/>
        </w:tabs>
        <w:spacing w:before="120" w:after="120"/>
      </w:pPr>
      <w:r>
        <w:tab/>
      </w:r>
      <m:oMath>
        <m:r>
          <m:rPr>
            <m:sty m:val="p"/>
          </m:rPr>
          <w:rPr>
            <w:rFonts w:ascii="Cambria Math" w:hAnsi="Cambria Math"/>
            <w:sz w:val="21"/>
          </w:rPr>
          <m:t xml:space="preserve">Ĉ(s) = </m:t>
        </m:r>
        <m:f>
          <m:num>
            <m:r>
              <m:rPr>
                <m:sty m:val="p"/>
              </m:rPr>
              <w:rPr>
                <w:rFonts w:ascii="Cambria Math" w:hAnsi="Cambria Math"/>
                <w:sz w:val="21"/>
              </w:rPr>
              <m:t xml:space="preserve"/>
            </m:r>
            <m:sSub>
              <m:e>
                <m:r>
                  <m:rPr>
                    <m:sty m:val="p"/>
                  </m:rPr>
                  <w:rPr>
                    <w:rFonts w:ascii="Cambria Math" w:hAnsi="Cambria Math"/>
                    <w:sz w:val="21"/>
                  </w:rPr>
                  <m:t xml:space="preserve">Ê</m:t>
                </m:r>
              </m:e>
              <m:sub>
                <m:r>
                  <m:rPr>
                    <m:sty m:val="p"/>
                  </m:rPr>
                  <w:rPr>
                    <w:rFonts w:ascii="Cambria Math" w:hAnsi="Cambria Math"/>
                    <w:sz w:val="21"/>
                  </w:rPr>
                  <m:t xml:space="preserve">c</m:t>
                </m:r>
              </m:sub>
            </m:sSub>
            <m:r>
              <m:rPr>
                <m:sty m:val="p"/>
              </m:rPr>
              <w:rPr>
                <w:rFonts w:ascii="Cambria Math" w:hAnsi="Cambria Math"/>
                <w:sz w:val="21"/>
              </w:rPr>
              <m:t xml:space="preserve">(s) </m:t>
            </m:r>
            <m:sSub>
              <m:e>
                <m:r>
                  <m:rPr>
                    <m:sty m:val="p"/>
                  </m:rPr>
                  <w:rPr>
                    <w:rFonts w:ascii="Cambria Math" w:hAnsi="Cambria Math"/>
                    <w:sz w:val="21"/>
                  </w:rPr>
                  <m:t xml:space="preserve">I</m:t>
                </m:r>
              </m:e>
              <m:sub>
                <m:r>
                  <m:rPr>
                    <m:sty m:val="p"/>
                  </m:rPr>
                  <w:rPr>
                    <w:rFonts w:ascii="Cambria Math" w:hAnsi="Cambria Math"/>
                    <w:sz w:val="21"/>
                  </w:rPr>
                  <m:t xml:space="preserve">c</m:t>
                </m:r>
              </m:sub>
            </m:sSub>
            <m:r>
              <m:rPr>
                <m:sty m:val="p"/>
              </m:rPr>
              <w:rPr>
                <w:rFonts w:ascii="Cambria Math" w:hAnsi="Cambria Math"/>
                <w:sz w:val="21"/>
              </w:rPr>
              <m:t xml:space="preserve"> + N </m:t>
            </m:r>
            <m:sSub>
              <m:e>
                <m:r>
                  <m:rPr>
                    <m:sty m:val="p"/>
                  </m:rPr>
                  <w:rPr>
                    <w:rFonts w:ascii="Cambria Math" w:hAnsi="Cambria Math"/>
                    <w:sz w:val="21"/>
                  </w:rPr>
                  <m:t xml:space="preserve">Ê</m:t>
                </m:r>
              </m:e>
              <m:sub>
                <m:r>
                  <m:rPr>
                    <m:sty m:val="p"/>
                  </m:rPr>
                  <w:rPr>
                    <w:rFonts w:ascii="Cambria Math" w:hAnsi="Cambria Math"/>
                    <w:sz w:val="21"/>
                  </w:rPr>
                  <m:t xml:space="preserve">r</m:t>
                </m:r>
              </m:sub>
            </m:sSub>
            <m:r>
              <m:rPr>
                <m:sty m:val="p"/>
              </m:rPr>
              <w:rPr>
                <w:rFonts w:ascii="Cambria Math" w:hAnsi="Cambria Math"/>
                <w:sz w:val="21"/>
              </w:rPr>
              <m:t xml:space="preserve">(s) </m:t>
            </m:r>
            <m:sSub>
              <m:e>
                <m:r>
                  <m:rPr>
                    <m:sty m:val="p"/>
                  </m:rPr>
                  <w:rPr>
                    <w:rFonts w:ascii="Cambria Math" w:hAnsi="Cambria Math"/>
                    <w:sz w:val="21"/>
                  </w:rPr>
                  <m:t xml:space="preserve">I</m:t>
                </m:r>
              </m:e>
              <m:sub>
                <m:r>
                  <m:rPr>
                    <m:sty m:val="p"/>
                  </m:rPr>
                  <w:rPr>
                    <w:rFonts w:ascii="Cambria Math" w:hAnsi="Cambria Math"/>
                    <w:sz w:val="21"/>
                  </w:rPr>
                  <m:t xml:space="preserve">r</m:t>
                </m:r>
              </m:sub>
            </m:sSub>
            <m:r>
              <m:rPr>
                <m:sty m:val="p"/>
              </m:rPr>
              <w:rPr>
                <w:rFonts w:ascii="Cambria Math" w:hAnsi="Cambria Math"/>
                <w:sz w:val="21"/>
              </w:rPr>
              <m:t xml:space="preserve"/>
            </m:r>
          </m:num>
          <m:den>
            <m:r>
              <m:rPr>
                <m:sty m:val="p"/>
              </m:rPr>
              <w:rPr>
                <w:rFonts w:ascii="Cambria Math" w:hAnsi="Cambria Math"/>
                <w:sz w:val="21"/>
              </w:rPr>
              <m:t xml:space="preserve">3 600 000</m:t>
            </m:r>
          </m:den>
        </m:f>
      </m:oMath>
      <w:r>
        <w:tab/>
      </w:r>
      <w:r>
        <w:rPr>
          <w:rFonts w:ascii="Times New Roman" w:hAnsi="Times New Roman"/>
          <w:sz w:val="22"/>
        </w:rPr>
        <w:t xml:space="preserve">(1)</w:t>
      </w:r>
    </w:p>
    <w:p>
      <w:pPr>
        <w:pStyle w:val="1"/>
        <w:widowControl/>
        <w:spacing w:after="120" w:line="276" w:lineRule="auto"/>
        <w:jc w:val="both"/>
      </w:pPr>
      <w:r>
        <w:rPr>
          <w:rFonts w:ascii="Times New Roman" w:hAnsi="Times New Roman"/>
          <w:b w:val="0"/>
          <w:sz w:val="22"/>
        </w:rPr>
        <w:t xml:space="preserve">The factor 3 600 000 converted joules to kilowatt hours. A candidate was eligible when its predicted runtime did not exceed the predicted baseline runtime by more than a configurable fraction δ, as given in Eq. (2). The default was δ = 0.10. The selector then chose the eligible candidate with minimum estimated carbon, as given in Eq. (3).</w:t>
      </w:r>
    </w:p>
    <w:p>
      <w:pPr>
        <w:pStyle w:val="1"/>
        <w:keepLines/>
        <w:tabs>
          <w:tab w:val="center" w:pos="4513"/>
          <w:tab w:val="right" w:pos="9026"/>
        </w:tabs>
        <w:spacing w:before="120" w:after="120"/>
      </w:pPr>
      <w:r>
        <w:tab/>
      </w:r>
      <m:oMath>
        <m:r>
          <m:rPr>
            <m:sty m:val="p"/>
          </m:rPr>
          <w:rPr>
            <w:rFonts w:ascii="Cambria Math" w:hAnsi="Cambria Math"/>
            <w:sz w:val="21"/>
          </w:rPr>
          <m:t xml:space="preserve"/>
        </m:r>
        <m:sSub>
          <m:e>
            <m:r>
              <m:rPr>
                <m:sty m:val="p"/>
              </m:rPr>
              <w:rPr>
                <w:rFonts w:ascii="Cambria Math" w:hAnsi="Cambria Math"/>
                <w:sz w:val="21"/>
              </w:rPr>
              <m:t xml:space="preserve">T̂</m:t>
            </m:r>
          </m:e>
          <m:sub>
            <m:r>
              <m:rPr>
                <m:sty m:val="p"/>
              </m:rPr>
              <w:rPr>
                <w:rFonts w:ascii="Cambria Math" w:hAnsi="Cambria Math"/>
                <w:sz w:val="21"/>
              </w:rPr>
              <m:t xml:space="preserve">r</m:t>
            </m:r>
          </m:sub>
        </m:sSub>
        <m:r>
          <m:rPr>
            <m:sty m:val="p"/>
          </m:rPr>
          <w:rPr>
            <w:rFonts w:ascii="Cambria Math" w:hAnsi="Cambria Math"/>
            <w:sz w:val="21"/>
          </w:rPr>
          <m:t xml:space="preserve">(s) ≤ (1 + δ) </m:t>
        </m:r>
        <m:sSub>
          <m:e>
            <m:r>
              <m:rPr>
                <m:sty m:val="p"/>
              </m:rPr>
              <w:rPr>
                <w:rFonts w:ascii="Cambria Math" w:hAnsi="Cambria Math"/>
                <w:sz w:val="21"/>
              </w:rPr>
              <m:t xml:space="preserve">T̂</m:t>
            </m:r>
          </m:e>
          <m:sub>
            <m:r>
              <m:rPr>
                <m:sty m:val="p"/>
              </m:rPr>
              <w:rPr>
                <w:rFonts w:ascii="Cambria Math" w:hAnsi="Cambria Math"/>
                <w:sz w:val="21"/>
              </w:rPr>
              <m:t xml:space="preserve">r</m:t>
            </m:r>
          </m:sub>
        </m:sSub>
        <m:r>
          <m:rPr>
            <m:sty m:val="p"/>
          </m:rPr>
          <w:rPr>
            <w:rFonts w:ascii="Cambria Math" w:hAnsi="Cambria Math"/>
            <w:sz w:val="21"/>
          </w:rPr>
          <m:t xml:space="preserve">(baseline)</m:t>
        </m:r>
      </m:oMath>
      <w:r>
        <w:tab/>
      </w:r>
      <w:r>
        <w:rPr>
          <w:rFonts w:ascii="Times New Roman" w:hAnsi="Times New Roman"/>
          <w:sz w:val="22"/>
        </w:rPr>
        <w:t xml:space="preserve">(2)</w:t>
      </w:r>
    </w:p>
    <w:p>
      <w:pPr>
        <w:pStyle w:val="1"/>
        <w:keepLines/>
        <w:tabs>
          <w:tab w:val="center" w:pos="4513"/>
          <w:tab w:val="right" w:pos="9026"/>
        </w:tabs>
        <w:spacing w:before="120" w:after="120"/>
      </w:pPr>
      <w:r>
        <w:tab/>
      </w:r>
      <m:oMath>
        <m:r>
          <m:rPr>
            <m:sty m:val="p"/>
          </m:rPr>
          <w:rPr>
            <w:rFonts w:ascii="Cambria Math" w:hAnsi="Cambria Math"/>
            <w:sz w:val="21"/>
          </w:rPr>
          <m:t xml:space="preserve">s* = arg min { Ĉ(s) : s ∈ S and s is eligible }</m:t>
        </m:r>
      </m:oMath>
      <w:r>
        <w:tab/>
      </w:r>
      <w:r>
        <w:rPr>
          <w:rFonts w:ascii="Times New Roman" w:hAnsi="Times New Roman"/>
          <w:sz w:val="22"/>
        </w:rPr>
        <w:t xml:space="preserve">(3)</w:t>
      </w:r>
    </w:p>
    <w:p>
      <w:pPr>
        <w:pStyle w:val="1"/>
        <w:widowControl/>
        <w:spacing w:after="120" w:line="276" w:lineRule="auto"/>
        <w:jc w:val="both"/>
      </w:pPr>
      <w:r>
        <w:rPr>
          <w:rFonts w:ascii="Times New Roman" w:hAnsi="Times New Roman"/>
          <w:b w:val="0"/>
          <w:sz w:val="22"/>
        </w:rPr>
        <w:t xml:space="preserve">The implementation iterated in baseline, lightweight, and DAG order and updated the selection only for a strictly lower objective; exact ties therefore favored the earlier candidate. When the predicted baseline runtime was nonpositive, the implementation allowed every candidate rather than forming a relative slowdown test. This special case matters because runtime predictions were clipped to zero. In ordinary cases the baseline was itself eligible. No uncertainty margin or confidence interval was used in eligibility decisions.</w:t>
      </w:r>
    </w:p>
    <w:p>
      <w:pPr>
        <w:pStyle w:val="1"/>
        <w:widowControl/>
        <w:spacing w:after="120" w:line="276" w:lineRule="auto"/>
        <w:jc w:val="both"/>
      </w:pPr>
      <w:r>
        <w:rPr>
          <w:rFonts w:ascii="Times New Roman" w:hAnsi="Times New Roman"/>
          <w:b w:val="0"/>
          <w:sz w:val="22"/>
        </w:rPr>
        <w:t xml:space="preserve">If compilation and execution share the same positive carbon intensity I, then the objective is I times total energy divided by a constant. Changing only that shared multiplier cannot change the strategy ranking when runtime eligibility remains fixed. Separate intensities allow their ratio to change the relative weight of one time compilation cost and repeated execution cost. The scenarios tested both this ratio effect and the effect of changing N; they did not estimate an actual future grid trajectory.</w:t>
      </w:r>
    </w:p>
    <w:p>
      <w:pPr>
        <w:pStyle w:val="3"/>
        <w:keepNext/>
        <w:keepLines/>
        <w:widowControl/>
        <w:spacing w:before="220" w:after="120"/>
      </w:pPr>
      <w:r>
        <w:rPr>
          <w:rFonts w:ascii="Times New Roman" w:hAnsi="Times New Roman"/>
          <w:b/>
          <w:color w:val="1F3864"/>
          <w:sz w:val="23"/>
        </w:rPr>
        <w:t xml:space="preserve">3.2 Compiler implementation and candidate strategies</w:t>
      </w:r>
    </w:p>
    <w:p>
      <w:pPr>
        <w:pStyle w:val="1"/>
        <w:widowControl/>
        <w:spacing w:after="120" w:line="276" w:lineRule="auto"/>
        <w:jc w:val="both"/>
      </w:pPr>
      <w:r>
        <w:rPr>
          <w:rFonts w:ascii="Times New Roman" w:hAnsi="Times New Roman"/>
          <w:b w:val="0"/>
          <w:sz w:val="22"/>
        </w:rPr>
        <w:t xml:space="preserve">The compiler was implemented in C++17 using a lexer, recursive parser, abstract syntax tree, and three address code generator. The input language supported integer identifiers and literals, assignments, arithmetic operators, comparisons, conditional statements, and while loops. It did not provide the language coverage, type system, alias analysis, or target back ends of a production C compiler. Generated C provided a practical route for timing native code after the intermediate transformations.</w:t>
      </w:r>
    </w:p>
    <w:p>
      <w:pPr>
        <w:pStyle w:val="1"/>
        <w:widowControl/>
        <w:spacing w:after="120" w:line="276" w:lineRule="auto"/>
        <w:jc w:val="both"/>
      </w:pPr>
      <w:r>
        <w:rPr>
          <w:rFonts w:ascii="Times New Roman" w:hAnsi="Times New Roman"/>
          <w:b w:val="0"/>
          <w:sz w:val="22"/>
        </w:rPr>
        <w:t xml:space="preserve">Baseline translation introduced explicit temporaries for intermediate expressions without applying the optimization passes. Lightweight optimization performed a forward pass with copy propagation, constant folding, and selected algebraic identities such as addition by zero and multiplication by one. It invalidated known copies when their source values changed and conservatively cleared information at relevant control flow boundaries. These transformations changed instruction contents even when they did not reduce the number of intermediate assignments.</w:t>
      </w:r>
    </w:p>
    <w:p>
      <w:pPr>
        <w:pStyle w:val="1"/>
        <w:widowControl/>
        <w:spacing w:after="120" w:line="276" w:lineRule="auto"/>
        <w:jc w:val="both"/>
      </w:pPr>
      <w:r>
        <w:rPr>
          <w:rFonts w:ascii="Times New Roman" w:hAnsi="Times New Roman"/>
          <w:b w:val="0"/>
          <w:sz w:val="22"/>
        </w:rPr>
        <w:t xml:space="preserve">The DAG strategy first applied the lightweight pass and then performed local common subexpression elimination. An expression key contained its operator and ordered resolved operands. A repeated key reused an existing temporary and omitted the redundant binary instruction. Assignment and control flow boundaries cleared the local expression and alias state. Consequently, the strategy did not provide global common subexpression elimination, and mathematically equivalent expressions with reordered operands were not necessarily merged. The word DAG refers to sharing dependencies between computed values rather than a whole program control flow graph.</w:t>
      </w:r>
    </w:p>
    <w:p>
      <w:pPr>
        <w:pStyle w:val="1"/>
        <w:widowControl/>
        <w:spacing w:after="120" w:line="276" w:lineRule="auto"/>
        <w:jc w:val="both"/>
      </w:pPr>
      <w:r>
        <w:rPr>
          <w:rFonts w:ascii="Times New Roman" w:hAnsi="Times New Roman"/>
          <w:b w:val="0"/>
          <w:sz w:val="22"/>
        </w:rPr>
        <w:t xml:space="preserve">Figure 1 shows the implemented flow. Candidate construction happened before ranking, and features were extracted from each candidate for proxy execution energy. The fitted runtime model, by contrast, used the original baseline feature vector for every strategy with a separate coefficient set. The selector generated all three candidates and the command regenerated the selected output. Its current compilation objective therefore did not account fully for search, selection, repeated generation, or downstream native compilation overhead.</w:t>
      </w:r>
    </w:p>
    <w:p>
      <w:pPr>
        <w:keepNext/>
        <w:spacing w:before="120" w:after="60"/>
        <w:jc w:val="center"/>
      </w:pPr>
      <w:r>
        <w:drawing>
          <wp:inline distT="0" distB="0" distL="0" distR="0">
            <wp:extent cx="5731510" cy="2012126"/>
            <wp:docPr id="901" name="Figure 1" descr="Figure 1. Green TAC compilation and selection workflow. TAC denotes three address code; DAG denotes directed acyclic graph; CSE denotes common subexpression elimination. Runtime predictions use baseline features, while proxy execution energy uses features from each generated candidate."/>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GreenFigure1"/>
                    <a:stretch>
                      <a:fillRect/>
                    </a:stretch>
                  </pic:blipFill>
                  <pic:spPr>
                    <a:xfrm>
                      <a:off x="0" y="0"/>
                      <a:ext cx="5731510" cy="2012126"/>
                    </a:xfrm>
                    <a:prstGeom prst="rect">
                      <a:avLst/>
                    </a:prstGeom>
                  </pic:spPr>
                </pic:pic>
              </a:graphicData>
            </a:graphic>
          </wp:inline>
        </w:drawing>
      </w:r>
    </w:p>
    <w:p>
      <w:pPr>
        <w:pStyle w:val="1"/>
        <w:keepLines/>
        <w:widowControl/>
        <w:spacing w:after="160"/>
      </w:pPr>
      <w:r>
        <w:rPr>
          <w:rFonts w:ascii="Times New Roman" w:hAnsi="Times New Roman"/>
          <w:sz w:val="19"/>
        </w:rPr>
        <w:t xml:space="preserve">Figure 1. Green TAC compilation and selection workflow. TAC denotes three address code; DAG denotes directed acyclic graph; CSE denotes common subexpression elimination. Runtime predictions use baseline features, while proxy execution energy uses features from each generated candidate.</w:t>
      </w:r>
    </w:p>
    <w:p>
      <w:pPr>
        <w:pStyle w:val="3"/>
        <w:keepNext/>
        <w:keepLines/>
        <w:widowControl/>
        <w:spacing w:before="220" w:after="120"/>
      </w:pPr>
      <w:r>
        <w:rPr>
          <w:rFonts w:ascii="Times New Roman" w:hAnsi="Times New Roman"/>
          <w:b/>
          <w:color w:val="1F3864"/>
          <w:sz w:val="23"/>
        </w:rPr>
        <w:t xml:space="preserve">3.3 Features and cost prediction</w:t>
      </w:r>
    </w:p>
    <w:p>
      <w:pPr>
        <w:pStyle w:val="1"/>
        <w:widowControl/>
        <w:spacing w:after="120" w:line="276" w:lineRule="auto"/>
        <w:jc w:val="both"/>
      </w:pPr>
      <w:r>
        <w:rPr>
          <w:rFonts w:ascii="Times New Roman" w:hAnsi="Times New Roman"/>
          <w:b w:val="0"/>
          <w:sz w:val="22"/>
        </w:rPr>
        <w:t xml:space="preserve">Ten static features were extracted: instruction count, binary operation count, branch count, label count, temporary count, assignment based memory operation count, comparison count, basic block count, maximum expression depth, and repeated expression count. These were syntactic properties of the intermediate program. In particular, memory operations were an assignment count rather than observed hardware memory traffic, and repeated expressions were a structural feature rather than a guarantee that every occurrence could be eliminated safely. Static counts did not include loop trip counts, branch probabilities, cache behavior, or observed execution frequencies.</w:t>
      </w:r>
    </w:p>
    <w:p>
      <w:pPr>
        <w:pStyle w:val="1"/>
        <w:widowControl/>
        <w:spacing w:after="120" w:line="276" w:lineRule="auto"/>
        <w:jc w:val="both"/>
      </w:pPr>
      <w:r>
        <w:rPr>
          <w:rFonts w:ascii="Times New Roman" w:hAnsi="Times New Roman"/>
          <w:b w:val="0"/>
          <w:sz w:val="22"/>
        </w:rPr>
        <w:t xml:space="preserve">For each strategy, runtime was predicted using a separate linear model, as given in Eq. (4). Here x</w:t>
      </w:r>
      <w:r>
        <w:rPr>
          <w:rFonts w:ascii="Times New Roman" w:hAnsi="Times New Roman"/>
          <w:b w:val="0"/>
          <w:sz w:val="22"/>
          <w:vertAlign w:val="subscript"/>
        </w:rPr>
        <w:t>j</w:t>
      </w:r>
      <w:r>
        <w:rPr>
          <w:rFonts w:ascii="Times New Roman" w:hAnsi="Times New Roman"/>
          <w:b w:val="0"/>
          <w:sz w:val="22"/>
        </w:rPr>
        <w:t xml:space="preserve">(P) is baseline feature j, β_s0 is an intercept, and β_sj is a strategy specific coefficient. Only coefficients present in the saved model were used. Predictions were clipped at zero to match the nonnegative runtime expected by the selector. The linear form supported inspection and deterministic export, but imposed an additive relationship that did not capture arbitrary interactions among program structure and execution behavior.</w:t>
      </w:r>
    </w:p>
    <w:p>
      <w:pPr>
        <w:pStyle w:val="1"/>
        <w:keepLines/>
        <w:tabs>
          <w:tab w:val="center" w:pos="4513"/>
          <w:tab w:val="right" w:pos="9026"/>
        </w:tabs>
        <w:spacing w:before="120" w:after="120"/>
      </w:pPr>
      <w:r>
        <w:tab/>
      </w:r>
      <m:oMath>
        <m:r>
          <m:rPr>
            <m:sty m:val="p"/>
          </m:rPr>
          <w:rPr>
            <w:rFonts w:ascii="Cambria Math" w:hAnsi="Cambria Math"/>
            <w:sz w:val="21"/>
          </w:rPr>
          <m:t xml:space="preserve"/>
        </m:r>
        <m:sSub>
          <m:e>
            <m:r>
              <m:rPr>
                <m:sty m:val="p"/>
              </m:rPr>
              <w:rPr>
                <w:rFonts w:ascii="Cambria Math" w:hAnsi="Cambria Math"/>
                <w:sz w:val="21"/>
              </w:rPr>
              <m:t xml:space="preserve">T̂</m:t>
            </m:r>
          </m:e>
          <m:sub>
            <m:r>
              <m:rPr>
                <m:sty m:val="p"/>
              </m:rPr>
              <w:rPr>
                <w:rFonts w:ascii="Cambria Math" w:hAnsi="Cambria Math"/>
                <w:sz w:val="21"/>
              </w:rPr>
              <m:t xml:space="preserve">r</m:t>
            </m:r>
          </m:sub>
        </m:sSub>
        <m:r>
          <m:rPr>
            <m:sty m:val="p"/>
          </m:rPr>
          <w:rPr>
            <w:rFonts w:ascii="Cambria Math" w:hAnsi="Cambria Math"/>
            <w:sz w:val="21"/>
          </w:rPr>
          <m:t xml:space="preserve">(s | P) = max[0, </m:t>
        </m:r>
        <m:sSub>
          <m:e>
            <m:r>
              <m:rPr>
                <m:sty m:val="p"/>
              </m:rPr>
              <w:rPr>
                <w:rFonts w:ascii="Cambria Math" w:hAnsi="Cambria Math"/>
                <w:sz w:val="21"/>
              </w:rPr>
              <m:t xml:space="preserve">β</m:t>
            </m:r>
          </m:e>
          <m:sub>
            <m:r>
              <m:rPr>
                <m:sty m:val="p"/>
              </m:rPr>
              <w:rPr>
                <w:rFonts w:ascii="Cambria Math" w:hAnsi="Cambria Math"/>
                <w:sz w:val="21"/>
              </w:rPr>
              <m:t xml:space="preserve">s0</m:t>
            </m:r>
          </m:sub>
        </m:sSub>
        <m:r>
          <m:rPr>
            <m:sty m:val="p"/>
          </m:rPr>
          <w:rPr>
            <w:rFonts w:ascii="Cambria Math" w:hAnsi="Cambria Math"/>
            <w:sz w:val="21"/>
          </w:rPr>
          <m:t xml:space="preserve"> + </m:t>
        </m:r>
        <m:sSub>
          <m:e>
            <m:r>
              <m:rPr>
                <m:sty m:val="p"/>
              </m:rPr>
              <w:rPr>
                <w:rFonts w:ascii="Cambria Math" w:hAnsi="Cambria Math"/>
                <w:sz w:val="21"/>
              </w:rPr>
              <m:t xml:space="preserve">Σ</m:t>
            </m:r>
          </m:e>
          <m:sub>
            <m:r>
              <m:rPr>
                <m:sty m:val="p"/>
              </m:rPr>
              <w:rPr>
                <w:rFonts w:ascii="Cambria Math" w:hAnsi="Cambria Math"/>
                <w:sz w:val="21"/>
              </w:rPr>
              <m:t xml:space="preserve">j</m:t>
            </m:r>
          </m:sub>
        </m:sSub>
        <m:r>
          <m:rPr>
            <m:sty m:val="p"/>
          </m:rPr>
          <w:rPr>
            <w:rFonts w:ascii="Cambria Math" w:hAnsi="Cambria Math"/>
            <w:sz w:val="21"/>
          </w:rPr>
          <m:t xml:space="preserve"> </m:t>
        </m:r>
        <m:sSub>
          <m:e>
            <m:r>
              <m:rPr>
                <m:sty m:val="p"/>
              </m:rPr>
              <w:rPr>
                <w:rFonts w:ascii="Cambria Math" w:hAnsi="Cambria Math"/>
                <w:sz w:val="21"/>
              </w:rPr>
              <m:t xml:space="preserve">β</m:t>
            </m:r>
          </m:e>
          <m:sub>
            <m:r>
              <m:rPr>
                <m:sty m:val="p"/>
              </m:rPr>
              <w:rPr>
                <w:rFonts w:ascii="Cambria Math" w:hAnsi="Cambria Math"/>
                <w:sz w:val="21"/>
              </w:rPr>
              <m:t xml:space="preserve">sj</m:t>
            </m:r>
          </m:sub>
        </m:sSub>
        <m:r>
          <m:rPr>
            <m:sty m:val="p"/>
          </m:rPr>
          <w:rPr>
            <w:rFonts w:ascii="Cambria Math" w:hAnsi="Cambria Math"/>
            <w:sz w:val="21"/>
          </w:rPr>
          <m:t xml:space="preserve"> </m:t>
        </m:r>
        <m:sSub>
          <m:e>
            <m:r>
              <m:rPr>
                <m:sty m:val="p"/>
              </m:rPr>
              <w:rPr>
                <w:rFonts w:ascii="Cambria Math" w:hAnsi="Cambria Math"/>
                <w:sz w:val="21"/>
              </w:rPr>
              <m:t xml:space="preserve">x</m:t>
            </m:r>
          </m:e>
          <m:sub>
            <m:r>
              <m:rPr>
                <m:sty m:val="p"/>
              </m:rPr>
              <w:rPr>
                <w:rFonts w:ascii="Cambria Math" w:hAnsi="Cambria Math"/>
                <w:sz w:val="21"/>
              </w:rPr>
              <m:t xml:space="preserve">j</m:t>
            </m:r>
          </m:sub>
        </m:sSub>
        <m:r>
          <m:rPr>
            <m:sty m:val="p"/>
          </m:rPr>
          <w:rPr>
            <w:rFonts w:ascii="Cambria Math" w:hAnsi="Cambria Math"/>
            <w:sz w:val="21"/>
          </w:rPr>
          <m:t xml:space="preserve">(P)]</m:t>
        </m:r>
      </m:oMath>
      <w:r>
        <w:tab/>
      </w:r>
      <w:r>
        <w:rPr>
          <w:rFonts w:ascii="Times New Roman" w:hAnsi="Times New Roman"/>
          <w:sz w:val="22"/>
        </w:rPr>
        <w:t xml:space="preserve">(4)</w:t>
      </w:r>
    </w:p>
    <w:p>
      <w:pPr>
        <w:pStyle w:val="1"/>
        <w:widowControl/>
        <w:spacing w:after="120" w:line="276" w:lineRule="auto"/>
        <w:jc w:val="both"/>
      </w:pPr>
      <w:r>
        <w:rPr>
          <w:rFonts w:ascii="Times New Roman" w:hAnsi="Times New Roman"/>
          <w:b w:val="0"/>
          <w:sz w:val="22"/>
        </w:rPr>
        <w:t xml:space="preserve">Model training used StandardScaler followed by Ridge regression with regularization parameter α = 1.0. Ridge minimizes squared residual error with an L2 coefficient penalty [26]. During validation, scaling and regression were fitted only on the training programs. After validation, a separate final model was refitted on all available programs, then converted to raw feature coefficients for C++ inference. The held out scores belonged to the training only models, not to that final full data refit.</w:t>
      </w:r>
    </w:p>
    <w:p>
      <w:pPr>
        <w:pStyle w:val="1"/>
        <w:widowControl/>
        <w:spacing w:after="120" w:line="276" w:lineRule="auto"/>
        <w:jc w:val="both"/>
      </w:pPr>
      <w:r>
        <w:rPr>
          <w:rFonts w:ascii="Times New Roman" w:hAnsi="Times New Roman"/>
          <w:b w:val="0"/>
          <w:sz w:val="22"/>
        </w:rPr>
        <w:t xml:space="preserve">The saved model contained runtime coefficients for all three strategies but no fitted compilation or execution energy coefficients. The selector therefore used the explicit proxy formulas in Eqs. (5) and (6). Let i, b, k, u, q, and z denote counts of instructions, binary operations, basic blocks, repeated expressions, branches, and temporaries, respectively. Baseline features were used for compilation energy. Candidate features, indicated by subscript s, were used for execution energy. The numerical weights were manually specified and were not empirical joule calibration coefficients.</w:t>
      </w:r>
    </w:p>
    <w:p>
      <w:pPr>
        <w:pStyle w:val="1"/>
        <w:keepLines/>
        <w:tabs>
          <w:tab w:val="center" w:pos="4513"/>
          <w:tab w:val="right" w:pos="9026"/>
        </w:tabs>
        <w:spacing w:before="120" w:after="120"/>
      </w:pPr>
      <w:r>
        <w:tab/>
      </w:r>
      <m:oMath>
        <m:r>
          <m:rPr>
            <m:sty m:val="p"/>
          </m:rPr>
          <w:rPr>
            <w:rFonts w:ascii="Cambria Math" w:hAnsi="Cambria Math"/>
            <w:sz w:val="21"/>
          </w:rPr>
          <m:t xml:space="preserve">B = 0.20i + 0.55b + 0.30k</m:t>
        </m:r>
      </m:oMath>
      <w:r>
        <w:tab/>
      </w:r>
      <w:r>
        <w:rPr>
          <w:rFonts w:ascii="Times New Roman" w:hAnsi="Times New Roman"/>
          <w:sz w:val="22"/>
        </w:rPr>
        <w:t xml:space="preserve">(5)</w:t>
      </w:r>
    </w:p>
    <w:p>
      <w:pPr>
        <w:pStyle w:val="1"/>
        <w:keepLines/>
        <w:tabs>
          <w:tab w:val="center" w:pos="4513"/>
          <w:tab w:val="right" w:pos="9026"/>
        </w:tabs>
        <w:spacing w:before="120" w:after="120"/>
      </w:pPr>
      <w:r>
        <w:tab/>
      </w:r>
      <m:oMath>
        <m:r>
          <m:rPr>
            <m:sty m:val="p"/>
          </m:rPr>
          <w:rPr>
            <w:rFonts w:ascii="Cambria Math" w:hAnsi="Cambria Math"/>
            <w:sz w:val="21"/>
          </w:rPr>
          <m:t xml:space="preserve"/>
        </m:r>
        <m:sSub>
          <m:e>
            <m:r>
              <m:rPr>
                <m:sty m:val="p"/>
              </m:rPr>
              <w:rPr>
                <w:rFonts w:ascii="Cambria Math" w:hAnsi="Cambria Math"/>
                <w:sz w:val="21"/>
              </w:rPr>
              <m:t xml:space="preserve">Ê</m:t>
            </m:r>
          </m:e>
          <m:sub>
            <m:r>
              <m:rPr>
                <m:sty m:val="p"/>
              </m:rPr>
              <w:rPr>
                <w:rFonts w:ascii="Cambria Math" w:hAnsi="Cambria Math"/>
                <w:sz w:val="21"/>
              </w:rPr>
              <m:t xml:space="preserve">r</m:t>
            </m:r>
          </m:sub>
        </m:sSub>
        <m:r>
          <m:rPr>
            <m:sty m:val="p"/>
          </m:rPr>
          <w:rPr>
            <w:rFonts w:ascii="Cambria Math" w:hAnsi="Cambria Math"/>
            <w:sz w:val="21"/>
          </w:rPr>
          <m:t xml:space="preserve">(s) = 0.90</m:t>
        </m:r>
        <m:sSub>
          <m:e>
            <m:r>
              <m:rPr>
                <m:sty m:val="p"/>
              </m:rPr>
              <w:rPr>
                <w:rFonts w:ascii="Cambria Math" w:hAnsi="Cambria Math"/>
                <w:sz w:val="21"/>
              </w:rPr>
              <m:t xml:space="preserve">i</m:t>
            </m:r>
          </m:e>
          <m:sub>
            <m:r>
              <m:rPr>
                <m:sty m:val="p"/>
              </m:rPr>
              <w:rPr>
                <w:rFonts w:ascii="Cambria Math" w:hAnsi="Cambria Math"/>
                <w:sz w:val="21"/>
              </w:rPr>
              <m:t xml:space="preserve">s</m:t>
            </m:r>
          </m:sub>
        </m:sSub>
        <m:r>
          <m:rPr>
            <m:sty m:val="p"/>
          </m:rPr>
          <w:rPr>
            <w:rFonts w:ascii="Cambria Math" w:hAnsi="Cambria Math"/>
            <w:sz w:val="21"/>
          </w:rPr>
          <m:t xml:space="preserve"> + 1.60</m:t>
        </m:r>
        <m:sSub>
          <m:e>
            <m:r>
              <m:rPr>
                <m:sty m:val="p"/>
              </m:rPr>
              <w:rPr>
                <w:rFonts w:ascii="Cambria Math" w:hAnsi="Cambria Math"/>
                <w:sz w:val="21"/>
              </w:rPr>
              <m:t xml:space="preserve">b</m:t>
            </m:r>
          </m:e>
          <m:sub>
            <m:r>
              <m:rPr>
                <m:sty m:val="p"/>
              </m:rPr>
              <w:rPr>
                <w:rFonts w:ascii="Cambria Math" w:hAnsi="Cambria Math"/>
                <w:sz w:val="21"/>
              </w:rPr>
              <m:t xml:space="preserve">s</m:t>
            </m:r>
          </m:sub>
        </m:sSub>
        <m:r>
          <m:rPr>
            <m:sty m:val="p"/>
          </m:rPr>
          <w:rPr>
            <w:rFonts w:ascii="Cambria Math" w:hAnsi="Cambria Math"/>
            <w:sz w:val="21"/>
          </w:rPr>
          <m:t xml:space="preserve"> + 2.20</m:t>
        </m:r>
        <m:sSub>
          <m:e>
            <m:r>
              <m:rPr>
                <m:sty m:val="p"/>
              </m:rPr>
              <w:rPr>
                <w:rFonts w:ascii="Cambria Math" w:hAnsi="Cambria Math"/>
                <w:sz w:val="21"/>
              </w:rPr>
              <m:t xml:space="preserve">q</m:t>
            </m:r>
          </m:e>
          <m:sub>
            <m:r>
              <m:rPr>
                <m:sty m:val="p"/>
              </m:rPr>
              <w:rPr>
                <w:rFonts w:ascii="Cambria Math" w:hAnsi="Cambria Math"/>
                <w:sz w:val="21"/>
              </w:rPr>
              <m:t xml:space="preserve">s</m:t>
            </m:r>
          </m:sub>
        </m:sSub>
        <m:r>
          <m:rPr>
            <m:sty m:val="p"/>
          </m:rPr>
          <w:rPr>
            <w:rFonts w:ascii="Cambria Math" w:hAnsi="Cambria Math"/>
            <w:sz w:val="21"/>
          </w:rPr>
          <m:t xml:space="preserve"> + 0.40</m:t>
        </m:r>
        <m:sSub>
          <m:e>
            <m:r>
              <m:rPr>
                <m:sty m:val="p"/>
              </m:rPr>
              <w:rPr>
                <w:rFonts w:ascii="Cambria Math" w:hAnsi="Cambria Math"/>
                <w:sz w:val="21"/>
              </w:rPr>
              <m:t xml:space="preserve">z</m:t>
            </m:r>
          </m:e>
          <m:sub>
            <m:r>
              <m:rPr>
                <m:sty m:val="p"/>
              </m:rPr>
              <w:rPr>
                <w:rFonts w:ascii="Cambria Math" w:hAnsi="Cambria Math"/>
                <w:sz w:val="21"/>
              </w:rPr>
              <m:t xml:space="preserve">s</m:t>
            </m:r>
          </m:sub>
        </m:sSub>
        <m:r>
          <m:rPr>
            <m:sty m:val="p"/>
          </m:rPr>
          <w:rPr>
            <w:rFonts w:ascii="Cambria Math" w:hAnsi="Cambria Math"/>
            <w:sz w:val="21"/>
          </w:rPr>
          <m:t xml:space="preserve"/>
        </m:r>
      </m:oMath>
      <w:r>
        <w:tab/>
      </w:r>
      <w:r>
        <w:rPr>
          <w:rFonts w:ascii="Times New Roman" w:hAnsi="Times New Roman"/>
          <w:sz w:val="22"/>
        </w:rPr>
        <w:t xml:space="preserve">(6)</w:t>
      </w:r>
    </w:p>
    <w:p>
      <w:pPr>
        <w:pStyle w:val="1"/>
        <w:widowControl/>
        <w:spacing w:after="120" w:line="276" w:lineRule="auto"/>
        <w:jc w:val="both"/>
      </w:pPr>
      <w:r>
        <w:rPr>
          <w:rFonts w:ascii="Times New Roman" w:hAnsi="Times New Roman"/>
          <w:b w:val="0"/>
          <w:sz w:val="22"/>
        </w:rPr>
        <w:t xml:space="preserve">The baseline compilation proxy was B. Lightweight added 0.35b + 0.75, while DAG added 0.55b + 1.25u + 1.50. Their use inside Eq. (1) produced illustrative carbon scores with the interface units of joules and grams, rather than measured physical energy or emissions. When a complete runtime model was unavailable, the runtime fallback was 0.010i_s + 0.020b_s + 0.050q_s. This fallback was used for a proxy only control demonstration, not for the reported fitted model validation.</w:t>
      </w:r>
    </w:p>
    <w:p>
      <w:pPr>
        <w:pStyle w:val="3"/>
        <w:keepNext/>
        <w:keepLines/>
        <w:widowControl/>
        <w:spacing w:before="220" w:after="120"/>
      </w:pPr>
      <w:r>
        <w:rPr>
          <w:rFonts w:ascii="Times New Roman" w:hAnsi="Times New Roman"/>
          <w:b/>
          <w:color w:val="1F3864"/>
          <w:sz w:val="23"/>
        </w:rPr>
        <w:t xml:space="preserve">3.4 Dataset and timing protocol</w:t>
      </w:r>
    </w:p>
    <w:p>
      <w:pPr>
        <w:pStyle w:val="1"/>
        <w:widowControl/>
        <w:spacing w:after="120" w:line="276" w:lineRule="auto"/>
        <w:jc w:val="both"/>
      </w:pPr>
      <w:r>
        <w:rPr>
          <w:rFonts w:ascii="Times New Roman" w:hAnsi="Times New Roman"/>
          <w:b w:val="0"/>
          <w:sz w:val="22"/>
        </w:rPr>
        <w:t xml:space="preserve">The repository contained 120 generated benchmarks across five categories: arithmetic, constant heavy code, repeated expressions, loops, and mixed control flow. With random seed 42, the study sampled six programs from each category and added one handwritten common subexpression example. The resulting 31 programs were each processed with three strategies, yielding 93 program strategy observations. Program strategy jobs were shuffled deterministically before collection. These programs were small synthetic workloads; they were not a representative sample of production applications.</w:t>
      </w:r>
    </w:p>
    <w:p>
      <w:pPr>
        <w:pStyle w:val="1"/>
        <w:widowControl/>
        <w:spacing w:after="120" w:line="276" w:lineRule="auto"/>
        <w:jc w:val="both"/>
      </w:pPr>
      <w:r>
        <w:rPr>
          <w:rFonts w:ascii="Times New Roman" w:hAnsi="Times New Roman"/>
          <w:b w:val="0"/>
          <w:sz w:val="22"/>
        </w:rPr>
        <w:t xml:space="preserve">For each program strategy pair, generated C was compiled to a native executable with GCC 15.2.0 at optimization level -O0. This setting reduced interference from downstream optimization when observing intermediate transformations, but limited applicability to optimized production builds. The runtime harness performed ten warmup invocations and increased its batch size toward a minimum duration of 30 milliseconds, subject to a cap of 100 million invocations. Five timed batches were collected. The stored runtime was the median per invocation time across those batches, giving 465 raw batch observations in total.</w:t>
      </w:r>
    </w:p>
    <w:p>
      <w:pPr>
        <w:pStyle w:val="1"/>
        <w:widowControl/>
        <w:spacing w:after="120" w:line="276" w:lineRule="auto"/>
        <w:jc w:val="both"/>
      </w:pPr>
      <w:r>
        <w:rPr>
          <w:rFonts w:ascii="Times New Roman" w:hAnsi="Times New Roman"/>
          <w:b w:val="0"/>
          <w:sz w:val="22"/>
        </w:rPr>
        <w:t xml:space="preserve">Timing occurred inside the executable using QueryPerformanceCounter on Windows, an interface documented for local high resolution interval measurement [27]. Process launch time was excluded from runtime; function call overhead, loop control, and a volatile result sink remained in the timed region. The generated program returned zero, so the sink and -O0 setting were important aspects of this experimental configuration. Repeated batches came from a single process and were not treated as independent process level trials.</w:t>
      </w:r>
    </w:p>
    <w:p>
      <w:pPr>
        <w:pStyle w:val="1"/>
        <w:widowControl/>
        <w:spacing w:after="120" w:line="276" w:lineRule="auto"/>
        <w:jc w:val="both"/>
      </w:pPr>
      <w:r>
        <w:rPr>
          <w:rFonts w:ascii="Times New Roman" w:hAnsi="Times New Roman"/>
          <w:b w:val="0"/>
          <w:sz w:val="22"/>
        </w:rPr>
        <w:t xml:space="preserve">The recorded host was Windows 11 build 26300 on an AMD64 system whose processor string was Intel64 Family 6 Model 186 Stepping 2, GenuineIntel. The collection interpreter was Python 3.12.11, and the model validation metadata recorded scikit learn 1.7.0. Compilation time measured the Green TAC source to C invocation, including process startup and output writing, but excluded GCC native compilation. No physical energy provider was used during this study; compilation and execution energy columns were left empty rather than populated with proxy values.</w:t>
      </w:r>
    </w:p>
    <w:p>
      <w:pPr>
        <w:pStyle w:val="1"/>
        <w:widowControl/>
        <w:spacing w:after="120" w:line="276" w:lineRule="auto"/>
        <w:jc w:val="both"/>
      </w:pPr>
      <w:r>
        <w:rPr>
          <w:rFonts w:ascii="Times New Roman" w:hAnsi="Times New Roman"/>
          <w:b w:val="0"/>
          <w:sz w:val="22"/>
        </w:rPr>
        <w:t xml:space="preserve">The collection ran on 15 October 2026. Metadata retained program hashes, compiler binary hash, environment, timer, seed, warmup and batching parameters, and the measurement file hash. The complete measurement file SHA256 digest was retained in the metadata. The later compilation walkthrough added explanatory output and did not supply a new timing dataset. Reported timing results therefore refer to the recorded study snapshot rather than a benchmark rerun of the new display code.</w:t>
      </w:r>
    </w:p>
    <w:p>
      <w:pPr>
        <w:pStyle w:val="3"/>
        <w:keepNext/>
        <w:keepLines/>
        <w:widowControl/>
        <w:spacing w:before="220" w:after="120"/>
      </w:pPr>
      <w:r>
        <w:rPr>
          <w:rFonts w:ascii="Times New Roman" w:hAnsi="Times New Roman"/>
          <w:b/>
          <w:color w:val="1F3864"/>
          <w:sz w:val="23"/>
        </w:rPr>
        <w:t xml:space="preserve">3.5 Validation and scenario protocol</w:t>
      </w:r>
    </w:p>
    <w:p>
      <w:pPr>
        <w:pStyle w:val="1"/>
        <w:widowControl/>
        <w:spacing w:after="120" w:line="276" w:lineRule="auto"/>
        <w:jc w:val="both"/>
      </w:pPr>
      <w:r>
        <w:rPr>
          <w:rFonts w:ascii="Times New Roman" w:hAnsi="Times New Roman"/>
          <w:b w:val="0"/>
          <w:sz w:val="22"/>
        </w:rPr>
        <w:t xml:space="preserve">A single GroupShuffleSplit with test_size = 0.2 and random_state = 42 separated programs into 24 training and seven test identities. Group based splitting prevents the same program identity from appearing in training and testing within a split [28]. All strategy models used the same held out identities. Shared templates and duplicate generated content could still occur across distinct program names, so identity separation did not establish separation by program family or source hash.</w:t>
      </w:r>
    </w:p>
    <w:p>
      <w:pPr>
        <w:pStyle w:val="1"/>
        <w:widowControl/>
        <w:spacing w:after="120" w:line="276" w:lineRule="auto"/>
        <w:jc w:val="both"/>
      </w:pPr>
      <w:r>
        <w:rPr>
          <w:rFonts w:ascii="Times New Roman" w:hAnsi="Times New Roman"/>
          <w:b w:val="0"/>
          <w:sz w:val="22"/>
        </w:rPr>
        <w:t xml:space="preserve">Prediction quality was assessed using mean absolute error, root mean squared error, and the coefficient of determination. Mean absolute error averaged absolute residuals; root mean squared error emphasized larger residuals. The coefficient of determination compared squared errors against variation around the test set mean and could be negative. A separate simple reference predicted the training set mean for every test program. This reference was evaluated with the same held out targets, allowing a direct error comparison without requiring a more complex alternative learner.</w:t>
      </w:r>
    </w:p>
    <w:p>
      <w:pPr>
        <w:pStyle w:val="1"/>
        <w:widowControl/>
        <w:spacing w:after="120" w:line="276" w:lineRule="auto"/>
        <w:jc w:val="both"/>
      </w:pPr>
      <w:r>
        <w:rPr>
          <w:rFonts w:ascii="Times New Roman" w:hAnsi="Times New Roman"/>
          <w:b w:val="0"/>
          <w:sz w:val="22"/>
        </w:rPr>
        <w:t xml:space="preserve">Descriptive runtime distributions were summarized as the median and interquartile range across the 31 program medians for each strategy. These intervals describe workload heterogeneity, not confidence intervals for a speedup. No significance test or population level energy saving estimate was constructed from the five within process batches. This avoids presenting timing repetitions as independent benchmark programs or using small static examples to imply a general performance effect.</w:t>
      </w:r>
    </w:p>
    <w:p>
      <w:pPr>
        <w:pStyle w:val="1"/>
        <w:widowControl/>
        <w:spacing w:after="120" w:line="276" w:lineRule="auto"/>
        <w:jc w:val="both"/>
      </w:pPr>
      <w:r>
        <w:rPr>
          <w:rFonts w:ascii="Times New Roman" w:hAnsi="Times New Roman"/>
          <w:b w:val="0"/>
          <w:sz w:val="22"/>
        </w:rPr>
        <w:t xml:space="preserve">Adaptive selection was exercised on the handwritten example using eight named scenarios in each of two modes: fitted runtime with proxy energy, and proxy runtime with proxy energy. The scenarios varied N and hypothetical compilation and execution intensities between 200 and 700 gCO2e/kWh. The same intensity pair was also scaled together to check the common multiplier property. Two named scenarios shared the same numerical parameters, so there were seven distinct parameter combinations per mode, rather than eight independent experimental conditions. The script recorded full candidate predictions and selected strategies in text, CSV, and JSON.</w:t>
      </w:r>
    </w:p>
    <w:p>
      <w:pPr>
        <w:pStyle w:val="2"/>
        <w:keepNext/>
        <w:keepLines/>
        <w:widowControl/>
        <w:spacing w:before="320" w:after="120"/>
      </w:pPr>
      <w:r>
        <w:rPr>
          <w:rFonts w:ascii="Times New Roman" w:hAnsi="Times New Roman"/>
          <w:b/>
          <w:color w:val="1F3864"/>
          <w:sz w:val="26"/>
        </w:rPr>
        <w:t xml:space="preserve">4 Results</w:t>
      </w:r>
    </w:p>
    <w:p>
      <w:pPr>
        <w:pStyle w:val="3"/>
        <w:keepNext/>
        <w:keepLines/>
        <w:widowControl/>
        <w:spacing w:before="220" w:after="120"/>
      </w:pPr>
      <w:r>
        <w:rPr>
          <w:rFonts w:ascii="Times New Roman" w:hAnsi="Times New Roman"/>
          <w:b/>
          <w:color w:val="1F3864"/>
          <w:sz w:val="23"/>
        </w:rPr>
        <w:t xml:space="preserve">4.1 Static transformation behavior</w:t>
      </w:r>
    </w:p>
    <w:p>
      <w:pPr>
        <w:pStyle w:val="1"/>
        <w:widowControl/>
        <w:spacing w:after="120" w:line="276" w:lineRule="auto"/>
        <w:jc w:val="both"/>
      </w:pPr>
      <w:r>
        <w:rPr>
          <w:rFonts w:ascii="Times New Roman" w:hAnsi="Times New Roman"/>
          <w:b w:val="0"/>
          <w:sz w:val="22"/>
        </w:rPr>
        <w:t xml:space="preserve">Table 2 reports deterministic counts for the handwritten example. Baseline code contained 21 instructions and 13 binary operations. Lightweight optimization retained 21 instructions while reducing binary operations to eight because folded results remained as assignments. DAG optimization reduced instruction count to 19 and binary operations to six. The instruction reduction relative to baseline was 2/21, or 9.5%; the binary operation reduction was 7/13, or 53.8%. These values describe one intermediate program and have no sampling uncertainty.</w:t>
      </w:r>
    </w:p>
    <w:p>
      <w:pPr>
        <w:pStyle w:val="1"/>
        <w:keepNext/>
        <w:widowControl/>
        <w:spacing w:before="140" w:after="80"/>
      </w:pPr>
      <w:r>
        <w:rPr>
          <w:rFonts w:ascii="Times New Roman" w:hAnsi="Times New Roman"/>
          <w:b/>
          <w:sz w:val="19"/>
        </w:rPr>
        <w:t xml:space="preserve">Table 2. Static counts for the handwritten common subexpression example.</w:t>
      </w:r>
    </w:p>
    <w:tbl>
      <w:tblPr>
        <w:tblStyle w:val="9"/>
        <w:tblW w:w="9026"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90" w:type="dxa"/>
          <w:left w:w="100" w:type="dxa"/>
          <w:bottom w:w="90" w:type="dxa"/>
          <w:right w:w="100" w:type="dxa"/>
        </w:tblCellMar>
      </w:tblPr>
      <w:tblGrid>
        <w:gridCol w:w="2200"/>
        <w:gridCol w:w="2100"/>
        <w:gridCol w:w="2200"/>
        <w:gridCol w:w="2526"/>
      </w:tblGrid>
      <w:tr>
        <w:trPr>
          <w:cantSplit/>
          <w:tblHeader/>
        </w:trPr>
        <w:tc>
          <w:tcPr>
            <w:tcW w:w="2200" w:type="dxa"/>
            <w:vAlign w:val="center"/>
            <w:shd w:fill="1F3864"/>
          </w:tcPr>
          <w:p>
            <w:pPr>
              <w:pStyle w:val="1"/>
              <w:widowControl/>
              <w:spacing w:after="0" w:line="240" w:lineRule="auto"/>
              <w:jc w:val="left"/>
            </w:pPr>
            <w:r>
              <w:rPr>
                <w:rFonts w:ascii="Times New Roman" w:hAnsi="Times New Roman"/>
                <w:b/>
                <w:color w:val="FFFFFF"/>
                <w:sz w:val="18"/>
              </w:rPr>
              <w:t xml:space="preserve">Strategy</w:t>
            </w:r>
          </w:p>
        </w:tc>
        <w:tc>
          <w:tcPr>
            <w:tcW w:w="2100" w:type="dxa"/>
            <w:vAlign w:val="center"/>
            <w:shd w:fill="1F3864"/>
          </w:tcPr>
          <w:p>
            <w:pPr>
              <w:pStyle w:val="1"/>
              <w:widowControl/>
              <w:spacing w:after="0" w:line="240" w:lineRule="auto"/>
              <w:jc w:val="center"/>
            </w:pPr>
            <w:r>
              <w:rPr>
                <w:rFonts w:ascii="Times New Roman" w:hAnsi="Times New Roman"/>
                <w:b/>
                <w:color w:val="FFFFFF"/>
                <w:sz w:val="18"/>
              </w:rPr>
              <w:t xml:space="preserve">TAC instructions</w:t>
            </w:r>
          </w:p>
        </w:tc>
        <w:tc>
          <w:tcPr>
            <w:tcW w:w="2200" w:type="dxa"/>
            <w:vAlign w:val="center"/>
            <w:shd w:fill="1F3864"/>
          </w:tcPr>
          <w:p>
            <w:pPr>
              <w:pStyle w:val="1"/>
              <w:widowControl/>
              <w:spacing w:after="0" w:line="240" w:lineRule="auto"/>
              <w:jc w:val="center"/>
            </w:pPr>
            <w:r>
              <w:rPr>
                <w:rFonts w:ascii="Times New Roman" w:hAnsi="Times New Roman"/>
                <w:b/>
                <w:color w:val="FFFFFF"/>
                <w:sz w:val="18"/>
              </w:rPr>
              <w:t xml:space="preserve">Binary operations</w:t>
            </w:r>
          </w:p>
        </w:tc>
        <w:tc>
          <w:tcPr>
            <w:tcW w:w="2526" w:type="dxa"/>
            <w:vAlign w:val="center"/>
            <w:shd w:fill="1F3864"/>
          </w:tcPr>
          <w:p>
            <w:pPr>
              <w:pStyle w:val="1"/>
              <w:widowControl/>
              <w:spacing w:after="0" w:line="240" w:lineRule="auto"/>
              <w:jc w:val="center"/>
            </w:pPr>
            <w:r>
              <w:rPr>
                <w:rFonts w:ascii="Times New Roman" w:hAnsi="Times New Roman"/>
                <w:b/>
                <w:color w:val="FFFFFF"/>
                <w:sz w:val="18"/>
              </w:rPr>
              <w:t xml:space="preserve">Instruction change</w:t>
            </w:r>
          </w:p>
        </w:tc>
      </w:tr>
      <w:tr>
        <w:trPr>
          <w:cantSplit/>
        </w:trPr>
        <w:tc>
          <w:tcPr>
            <w:tcW w:w="2200" w:type="dxa"/>
            <w:vAlign w:val="center"/>
            <w:shd w:fill="FFFFFF"/>
          </w:tcPr>
          <w:p>
            <w:pPr>
              <w:pStyle w:val="1"/>
              <w:widowControl/>
              <w:spacing w:after="0" w:line="240" w:lineRule="auto"/>
              <w:jc w:val="left"/>
            </w:pPr>
            <w:r>
              <w:rPr>
                <w:rFonts w:ascii="Times New Roman" w:hAnsi="Times New Roman"/>
                <w:color w:val="000000"/>
                <w:sz w:val="18"/>
              </w:rPr>
              <w:t xml:space="preserve">Baseline</w:t>
            </w:r>
          </w:p>
        </w:tc>
        <w:tc>
          <w:tcPr>
            <w:tcW w:w="2100" w:type="dxa"/>
            <w:vAlign w:val="center"/>
            <w:shd w:fill="FFFFFF"/>
          </w:tcPr>
          <w:p>
            <w:pPr>
              <w:pStyle w:val="1"/>
              <w:widowControl/>
              <w:spacing w:after="0" w:line="240" w:lineRule="auto"/>
              <w:jc w:val="center"/>
            </w:pPr>
            <w:r>
              <w:rPr>
                <w:rFonts w:ascii="Times New Roman" w:hAnsi="Times New Roman"/>
                <w:color w:val="000000"/>
                <w:sz w:val="18"/>
              </w:rPr>
              <w:t xml:space="preserve">21</w:t>
            </w:r>
          </w:p>
        </w:tc>
        <w:tc>
          <w:tcPr>
            <w:tcW w:w="2200" w:type="dxa"/>
            <w:vAlign w:val="center"/>
            <w:shd w:fill="FFFFFF"/>
          </w:tcPr>
          <w:p>
            <w:pPr>
              <w:pStyle w:val="1"/>
              <w:widowControl/>
              <w:spacing w:after="0" w:line="240" w:lineRule="auto"/>
              <w:jc w:val="center"/>
            </w:pPr>
            <w:r>
              <w:rPr>
                <w:rFonts w:ascii="Times New Roman" w:hAnsi="Times New Roman"/>
                <w:color w:val="000000"/>
                <w:sz w:val="18"/>
              </w:rPr>
              <w:t xml:space="preserve">13</w:t>
            </w:r>
          </w:p>
        </w:tc>
        <w:tc>
          <w:tcPr>
            <w:tcW w:w="2526" w:type="dxa"/>
            <w:vAlign w:val="center"/>
            <w:shd w:fill="FFFFFF"/>
          </w:tcPr>
          <w:p>
            <w:pPr>
              <w:pStyle w:val="1"/>
              <w:widowControl/>
              <w:spacing w:after="0" w:line="240" w:lineRule="auto"/>
              <w:jc w:val="center"/>
            </w:pPr>
            <w:r>
              <w:rPr>
                <w:rFonts w:ascii="Times New Roman" w:hAnsi="Times New Roman"/>
                <w:color w:val="000000"/>
                <w:sz w:val="18"/>
              </w:rPr>
              <w:t xml:space="preserve">Reference</w:t>
            </w:r>
          </w:p>
        </w:tc>
      </w:tr>
      <w:tr>
        <w:trPr>
          <w:cantSplit/>
        </w:trPr>
        <w:tc>
          <w:tcPr>
            <w:tcW w:w="2200" w:type="dxa"/>
            <w:vAlign w:val="center"/>
            <w:shd w:fill="F2F2F2"/>
          </w:tcPr>
          <w:p>
            <w:pPr>
              <w:pStyle w:val="1"/>
              <w:widowControl/>
              <w:spacing w:after="0" w:line="240" w:lineRule="auto"/>
              <w:jc w:val="left"/>
            </w:pPr>
            <w:r>
              <w:rPr>
                <w:rFonts w:ascii="Times New Roman" w:hAnsi="Times New Roman"/>
                <w:color w:val="000000"/>
                <w:sz w:val="18"/>
              </w:rPr>
              <w:t xml:space="preserve">Lightweight</w:t>
            </w:r>
          </w:p>
        </w:tc>
        <w:tc>
          <w:tcPr>
            <w:tcW w:w="2100" w:type="dxa"/>
            <w:vAlign w:val="center"/>
            <w:shd w:fill="F2F2F2"/>
          </w:tcPr>
          <w:p>
            <w:pPr>
              <w:pStyle w:val="1"/>
              <w:widowControl/>
              <w:spacing w:after="0" w:line="240" w:lineRule="auto"/>
              <w:jc w:val="center"/>
            </w:pPr>
            <w:r>
              <w:rPr>
                <w:rFonts w:ascii="Times New Roman" w:hAnsi="Times New Roman"/>
                <w:color w:val="000000"/>
                <w:sz w:val="18"/>
              </w:rPr>
              <w:t xml:space="preserve">21</w:t>
            </w:r>
          </w:p>
        </w:tc>
        <w:tc>
          <w:tcPr>
            <w:tcW w:w="2200" w:type="dxa"/>
            <w:vAlign w:val="center"/>
            <w:shd w:fill="F2F2F2"/>
          </w:tcPr>
          <w:p>
            <w:pPr>
              <w:pStyle w:val="1"/>
              <w:widowControl/>
              <w:spacing w:after="0" w:line="240" w:lineRule="auto"/>
              <w:jc w:val="center"/>
            </w:pPr>
            <w:r>
              <w:rPr>
                <w:rFonts w:ascii="Times New Roman" w:hAnsi="Times New Roman"/>
                <w:color w:val="000000"/>
                <w:sz w:val="18"/>
              </w:rPr>
              <w:t xml:space="preserve">8</w:t>
            </w:r>
          </w:p>
        </w:tc>
        <w:tc>
          <w:tcPr>
            <w:tcW w:w="2526" w:type="dxa"/>
            <w:vAlign w:val="center"/>
            <w:shd w:fill="F2F2F2"/>
          </w:tcPr>
          <w:p>
            <w:pPr>
              <w:pStyle w:val="1"/>
              <w:widowControl/>
              <w:spacing w:after="0" w:line="240" w:lineRule="auto"/>
              <w:jc w:val="center"/>
            </w:pPr>
            <w:r>
              <w:rPr>
                <w:rFonts w:ascii="Times New Roman" w:hAnsi="Times New Roman"/>
                <w:color w:val="000000"/>
                <w:sz w:val="18"/>
              </w:rPr>
              <w:t xml:space="preserve">0.0%</w:t>
            </w:r>
          </w:p>
        </w:tc>
      </w:tr>
      <w:tr>
        <w:trPr>
          <w:cantSplit/>
        </w:trPr>
        <w:tc>
          <w:tcPr>
            <w:tcW w:w="2200" w:type="dxa"/>
            <w:vAlign w:val="center"/>
            <w:shd w:fill="FFFFFF"/>
          </w:tcPr>
          <w:p>
            <w:pPr>
              <w:pStyle w:val="1"/>
              <w:widowControl/>
              <w:spacing w:after="0" w:line="240" w:lineRule="auto"/>
              <w:jc w:val="left"/>
            </w:pPr>
            <w:r>
              <w:rPr>
                <w:rFonts w:ascii="Times New Roman" w:hAnsi="Times New Roman"/>
                <w:color w:val="000000"/>
                <w:sz w:val="18"/>
              </w:rPr>
              <w:t xml:space="preserve">DAG</w:t>
            </w:r>
          </w:p>
        </w:tc>
        <w:tc>
          <w:tcPr>
            <w:tcW w:w="2100" w:type="dxa"/>
            <w:vAlign w:val="center"/>
            <w:shd w:fill="FFFFFF"/>
          </w:tcPr>
          <w:p>
            <w:pPr>
              <w:pStyle w:val="1"/>
              <w:widowControl/>
              <w:spacing w:after="0" w:line="240" w:lineRule="auto"/>
              <w:jc w:val="center"/>
            </w:pPr>
            <w:r>
              <w:rPr>
                <w:rFonts w:ascii="Times New Roman" w:hAnsi="Times New Roman"/>
                <w:color w:val="000000"/>
                <w:sz w:val="18"/>
              </w:rPr>
              <w:t xml:space="preserve">19</w:t>
            </w:r>
          </w:p>
        </w:tc>
        <w:tc>
          <w:tcPr>
            <w:tcW w:w="2200" w:type="dxa"/>
            <w:vAlign w:val="center"/>
            <w:shd w:fill="FFFFFF"/>
          </w:tcPr>
          <w:p>
            <w:pPr>
              <w:pStyle w:val="1"/>
              <w:widowControl/>
              <w:spacing w:after="0" w:line="240" w:lineRule="auto"/>
              <w:jc w:val="center"/>
            </w:pPr>
            <w:r>
              <w:rPr>
                <w:rFonts w:ascii="Times New Roman" w:hAnsi="Times New Roman"/>
                <w:color w:val="000000"/>
                <w:sz w:val="18"/>
              </w:rPr>
              <w:t xml:space="preserve">6</w:t>
            </w:r>
          </w:p>
        </w:tc>
        <w:tc>
          <w:tcPr>
            <w:tcW w:w="2526" w:type="dxa"/>
            <w:vAlign w:val="center"/>
            <w:shd w:fill="FFFFFF"/>
          </w:tcPr>
          <w:p>
            <w:pPr>
              <w:pStyle w:val="1"/>
              <w:widowControl/>
              <w:spacing w:after="0" w:line="240" w:lineRule="auto"/>
              <w:jc w:val="center"/>
            </w:pPr>
            <w:r>
              <w:rPr>
                <w:rFonts w:ascii="Times New Roman" w:hAnsi="Times New Roman"/>
                <w:color w:val="000000"/>
                <w:sz w:val="18"/>
              </w:rPr>
              <w:t xml:space="preserve">9.5% fewer</w:t>
            </w:r>
          </w:p>
        </w:tc>
      </w:tr>
    </w:tbl>
    <w:p>
      <w:pPr>
        <w:pStyle w:val="1"/>
        <w:widowControl/>
        <w:spacing w:after="60" w:line="60" w:lineRule="exact"/>
      </w:pPr>
      <w:r>
        <w:rPr>
          <w:rFonts w:ascii="Times New Roman" w:hAnsi="Times New Roman"/>
          <w:sz w:val="22"/>
        </w:rPr>
        <w:t xml:space="preserve"/>
      </w:r>
    </w:p>
    <w:p>
      <w:pPr>
        <w:pStyle w:val="1"/>
        <w:widowControl/>
        <w:spacing w:after="120" w:line="276" w:lineRule="auto"/>
        <w:jc w:val="both"/>
      </w:pPr>
      <w:r>
        <w:rPr>
          <w:rFonts w:ascii="Times New Roman" w:hAnsi="Times New Roman"/>
          <w:b w:val="0"/>
          <w:sz w:val="22"/>
        </w:rPr>
        <w:t xml:space="preserve">For the expression d = (x + y) * (x + y), the baseline created separate temporaries for the two additions. The DAG pass reused the first addition and emitted multiplication using the same temporary twice. The walkthrough made that relationship visible through two operand edges pointing to one node. It also reported constant folding, algebraic simplification, and copy propagation as before and after instruction pairs. These explanations exposed the transformations actually used by the optimizer rather than a separate simulation of an ideal optimization pass.</w:t>
      </w:r>
    </w:p>
    <w:p>
      <w:pPr>
        <w:pStyle w:val="3"/>
        <w:keepNext/>
        <w:keepLines/>
        <w:widowControl/>
        <w:spacing w:before="220" w:after="120"/>
      </w:pPr>
      <w:r>
        <w:rPr>
          <w:rFonts w:ascii="Times New Roman" w:hAnsi="Times New Roman"/>
          <w:b/>
          <w:color w:val="1F3864"/>
          <w:sz w:val="23"/>
        </w:rPr>
        <w:t xml:space="preserve">4.2 Recorded runtime distributions</w:t>
      </w:r>
    </w:p>
    <w:p>
      <w:pPr>
        <w:pStyle w:val="1"/>
        <w:widowControl/>
        <w:spacing w:after="120" w:line="276" w:lineRule="auto"/>
        <w:jc w:val="both"/>
      </w:pPr>
      <w:r>
        <w:rPr>
          <w:rFonts w:ascii="Times New Roman" w:hAnsi="Times New Roman"/>
          <w:b w:val="0"/>
          <w:sz w:val="22"/>
        </w:rPr>
        <w:t xml:space="preserve">The study recorded 93 median runtime observations from 465 timed batches, with energy fields empty throughout. Table 3 summarizes runtime across programs. Baseline median runtime was 5.57 ns, lightweight was 5.36 ns, and DAG was 5.42 ns. The interquartile ranges overlapped substantially. These unpaired distribution summaries are reported descriptively; they are not a tested strategy speedup or evidence that one strategy dominated across programs.</w:t>
      </w:r>
    </w:p>
    <w:p>
      <w:pPr>
        <w:pStyle w:val="1"/>
        <w:keepNext/>
        <w:widowControl/>
        <w:spacing w:before="140" w:after="80"/>
      </w:pPr>
      <w:r>
        <w:rPr>
          <w:rFonts w:ascii="Times New Roman" w:hAnsi="Times New Roman"/>
          <w:b/>
          <w:sz w:val="19"/>
        </w:rPr>
        <w:t xml:space="preserve">Table 3. Runtime distributions across 31 program medians per strategy. Values are nanoseconds per invocation.</w:t>
      </w:r>
    </w:p>
    <w:tbl>
      <w:tblPr>
        <w:tblStyle w:val="9"/>
        <w:tblW w:w="9026"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90" w:type="dxa"/>
          <w:left w:w="100" w:type="dxa"/>
          <w:bottom w:w="90" w:type="dxa"/>
          <w:right w:w="100" w:type="dxa"/>
        </w:tblCellMar>
      </w:tblPr>
      <w:tblGrid>
        <w:gridCol w:w="2100"/>
        <w:gridCol w:w="1300"/>
        <w:gridCol w:w="1500"/>
        <w:gridCol w:w="2100"/>
        <w:gridCol w:w="2026"/>
      </w:tblGrid>
      <w:tr>
        <w:trPr>
          <w:cantSplit/>
          <w:tblHeader/>
        </w:trPr>
        <w:tc>
          <w:tcPr>
            <w:tcW w:w="2100" w:type="dxa"/>
            <w:vAlign w:val="center"/>
            <w:shd w:fill="1F3864"/>
          </w:tcPr>
          <w:p>
            <w:pPr>
              <w:pStyle w:val="1"/>
              <w:widowControl/>
              <w:spacing w:after="0" w:line="240" w:lineRule="auto"/>
              <w:jc w:val="left"/>
            </w:pPr>
            <w:r>
              <w:rPr>
                <w:rFonts w:ascii="Times New Roman" w:hAnsi="Times New Roman"/>
                <w:b/>
                <w:color w:val="FFFFFF"/>
                <w:sz w:val="18"/>
              </w:rPr>
              <w:t xml:space="preserve">Strategy</w:t>
            </w:r>
          </w:p>
        </w:tc>
        <w:tc>
          <w:tcPr>
            <w:tcW w:w="1300" w:type="dxa"/>
            <w:vAlign w:val="center"/>
            <w:shd w:fill="1F3864"/>
          </w:tcPr>
          <w:p>
            <w:pPr>
              <w:pStyle w:val="1"/>
              <w:widowControl/>
              <w:spacing w:after="0" w:line="240" w:lineRule="auto"/>
              <w:jc w:val="center"/>
            </w:pPr>
            <w:r>
              <w:rPr>
                <w:rFonts w:ascii="Times New Roman" w:hAnsi="Times New Roman"/>
                <w:b/>
                <w:color w:val="FFFFFF"/>
                <w:sz w:val="18"/>
              </w:rPr>
              <w:t xml:space="preserve">Programs</w:t>
            </w:r>
          </w:p>
        </w:tc>
        <w:tc>
          <w:tcPr>
            <w:tcW w:w="1500" w:type="dxa"/>
            <w:vAlign w:val="center"/>
            <w:shd w:fill="1F3864"/>
          </w:tcPr>
          <w:p>
            <w:pPr>
              <w:pStyle w:val="1"/>
              <w:widowControl/>
              <w:spacing w:after="0" w:line="240" w:lineRule="auto"/>
              <w:jc w:val="center"/>
            </w:pPr>
            <w:r>
              <w:rPr>
                <w:rFonts w:ascii="Times New Roman" w:hAnsi="Times New Roman"/>
                <w:b/>
                <w:color w:val="FFFFFF"/>
                <w:sz w:val="18"/>
              </w:rPr>
              <w:t xml:space="preserve">Median</w:t>
            </w:r>
          </w:p>
        </w:tc>
        <w:tc>
          <w:tcPr>
            <w:tcW w:w="2100" w:type="dxa"/>
            <w:vAlign w:val="center"/>
            <w:shd w:fill="1F3864"/>
          </w:tcPr>
          <w:p>
            <w:pPr>
              <w:pStyle w:val="1"/>
              <w:widowControl/>
              <w:spacing w:after="0" w:line="240" w:lineRule="auto"/>
              <w:jc w:val="center"/>
            </w:pPr>
            <w:r>
              <w:rPr>
                <w:rFonts w:ascii="Times New Roman" w:hAnsi="Times New Roman"/>
                <w:b/>
                <w:color w:val="FFFFFF"/>
                <w:sz w:val="18"/>
              </w:rPr>
              <w:t xml:space="preserve">25th percentile</w:t>
            </w:r>
          </w:p>
        </w:tc>
        <w:tc>
          <w:tcPr>
            <w:tcW w:w="2026" w:type="dxa"/>
            <w:vAlign w:val="center"/>
            <w:shd w:fill="1F3864"/>
          </w:tcPr>
          <w:p>
            <w:pPr>
              <w:pStyle w:val="1"/>
              <w:widowControl/>
              <w:spacing w:after="0" w:line="240" w:lineRule="auto"/>
              <w:jc w:val="center"/>
            </w:pPr>
            <w:r>
              <w:rPr>
                <w:rFonts w:ascii="Times New Roman" w:hAnsi="Times New Roman"/>
                <w:b/>
                <w:color w:val="FFFFFF"/>
                <w:sz w:val="18"/>
              </w:rPr>
              <w:t xml:space="preserve">75th percentile</w:t>
            </w:r>
          </w:p>
        </w:tc>
      </w:tr>
      <w:tr>
        <w:trPr>
          <w:cantSplit/>
        </w:trPr>
        <w:tc>
          <w:tcPr>
            <w:tcW w:w="2100" w:type="dxa"/>
            <w:vAlign w:val="center"/>
            <w:shd w:fill="FFFFFF"/>
          </w:tcPr>
          <w:p>
            <w:pPr>
              <w:pStyle w:val="1"/>
              <w:widowControl/>
              <w:spacing w:after="0" w:line="240" w:lineRule="auto"/>
              <w:jc w:val="left"/>
            </w:pPr>
            <w:r>
              <w:rPr>
                <w:rFonts w:ascii="Times New Roman" w:hAnsi="Times New Roman"/>
                <w:color w:val="000000"/>
                <w:sz w:val="18"/>
              </w:rPr>
              <w:t xml:space="preserve">Baseline</w:t>
            </w:r>
          </w:p>
        </w:tc>
        <w:tc>
          <w:tcPr>
            <w:tcW w:w="1300" w:type="dxa"/>
            <w:vAlign w:val="center"/>
            <w:shd w:fill="FFFFFF"/>
          </w:tcPr>
          <w:p>
            <w:pPr>
              <w:pStyle w:val="1"/>
              <w:widowControl/>
              <w:spacing w:after="0" w:line="240" w:lineRule="auto"/>
              <w:jc w:val="center"/>
            </w:pPr>
            <w:r>
              <w:rPr>
                <w:rFonts w:ascii="Times New Roman" w:hAnsi="Times New Roman"/>
                <w:color w:val="000000"/>
                <w:sz w:val="18"/>
              </w:rPr>
              <w:t xml:space="preserve">31</w:t>
            </w:r>
          </w:p>
        </w:tc>
        <w:tc>
          <w:tcPr>
            <w:tcW w:w="1500" w:type="dxa"/>
            <w:vAlign w:val="center"/>
            <w:shd w:fill="FFFFFF"/>
          </w:tcPr>
          <w:p>
            <w:pPr>
              <w:pStyle w:val="1"/>
              <w:widowControl/>
              <w:spacing w:after="0" w:line="240" w:lineRule="auto"/>
              <w:jc w:val="center"/>
            </w:pPr>
            <w:r>
              <w:rPr>
                <w:rFonts w:ascii="Times New Roman" w:hAnsi="Times New Roman"/>
                <w:color w:val="000000"/>
                <w:sz w:val="18"/>
              </w:rPr>
              <w:t xml:space="preserve">5.57</w:t>
            </w:r>
          </w:p>
        </w:tc>
        <w:tc>
          <w:tcPr>
            <w:tcW w:w="2100" w:type="dxa"/>
            <w:vAlign w:val="center"/>
            <w:shd w:fill="FFFFFF"/>
          </w:tcPr>
          <w:p>
            <w:pPr>
              <w:pStyle w:val="1"/>
              <w:widowControl/>
              <w:spacing w:after="0" w:line="240" w:lineRule="auto"/>
              <w:jc w:val="center"/>
            </w:pPr>
            <w:r>
              <w:rPr>
                <w:rFonts w:ascii="Times New Roman" w:hAnsi="Times New Roman"/>
                <w:color w:val="000000"/>
                <w:sz w:val="18"/>
              </w:rPr>
              <w:t xml:space="preserve">3.68</w:t>
            </w:r>
          </w:p>
        </w:tc>
        <w:tc>
          <w:tcPr>
            <w:tcW w:w="2026" w:type="dxa"/>
            <w:vAlign w:val="center"/>
            <w:shd w:fill="FFFFFF"/>
          </w:tcPr>
          <w:p>
            <w:pPr>
              <w:pStyle w:val="1"/>
              <w:widowControl/>
              <w:spacing w:after="0" w:line="240" w:lineRule="auto"/>
              <w:jc w:val="center"/>
            </w:pPr>
            <w:r>
              <w:rPr>
                <w:rFonts w:ascii="Times New Roman" w:hAnsi="Times New Roman"/>
                <w:color w:val="000000"/>
                <w:sz w:val="18"/>
              </w:rPr>
              <w:t xml:space="preserve">8.54</w:t>
            </w:r>
          </w:p>
        </w:tc>
      </w:tr>
      <w:tr>
        <w:trPr>
          <w:cantSplit/>
        </w:trPr>
        <w:tc>
          <w:tcPr>
            <w:tcW w:w="2100" w:type="dxa"/>
            <w:vAlign w:val="center"/>
            <w:shd w:fill="F2F2F2"/>
          </w:tcPr>
          <w:p>
            <w:pPr>
              <w:pStyle w:val="1"/>
              <w:widowControl/>
              <w:spacing w:after="0" w:line="240" w:lineRule="auto"/>
              <w:jc w:val="left"/>
            </w:pPr>
            <w:r>
              <w:rPr>
                <w:rFonts w:ascii="Times New Roman" w:hAnsi="Times New Roman"/>
                <w:color w:val="000000"/>
                <w:sz w:val="18"/>
              </w:rPr>
              <w:t xml:space="preserve">Lightweight</w:t>
            </w:r>
          </w:p>
        </w:tc>
        <w:tc>
          <w:tcPr>
            <w:tcW w:w="1300" w:type="dxa"/>
            <w:vAlign w:val="center"/>
            <w:shd w:fill="F2F2F2"/>
          </w:tcPr>
          <w:p>
            <w:pPr>
              <w:pStyle w:val="1"/>
              <w:widowControl/>
              <w:spacing w:after="0" w:line="240" w:lineRule="auto"/>
              <w:jc w:val="center"/>
            </w:pPr>
            <w:r>
              <w:rPr>
                <w:rFonts w:ascii="Times New Roman" w:hAnsi="Times New Roman"/>
                <w:color w:val="000000"/>
                <w:sz w:val="18"/>
              </w:rPr>
              <w:t xml:space="preserve">31</w:t>
            </w:r>
          </w:p>
        </w:tc>
        <w:tc>
          <w:tcPr>
            <w:tcW w:w="1500" w:type="dxa"/>
            <w:vAlign w:val="center"/>
            <w:shd w:fill="F2F2F2"/>
          </w:tcPr>
          <w:p>
            <w:pPr>
              <w:pStyle w:val="1"/>
              <w:widowControl/>
              <w:spacing w:after="0" w:line="240" w:lineRule="auto"/>
              <w:jc w:val="center"/>
            </w:pPr>
            <w:r>
              <w:rPr>
                <w:rFonts w:ascii="Times New Roman" w:hAnsi="Times New Roman"/>
                <w:color w:val="000000"/>
                <w:sz w:val="18"/>
              </w:rPr>
              <w:t xml:space="preserve">5.36</w:t>
            </w:r>
          </w:p>
        </w:tc>
        <w:tc>
          <w:tcPr>
            <w:tcW w:w="2100" w:type="dxa"/>
            <w:vAlign w:val="center"/>
            <w:shd w:fill="F2F2F2"/>
          </w:tcPr>
          <w:p>
            <w:pPr>
              <w:pStyle w:val="1"/>
              <w:widowControl/>
              <w:spacing w:after="0" w:line="240" w:lineRule="auto"/>
              <w:jc w:val="center"/>
            </w:pPr>
            <w:r>
              <w:rPr>
                <w:rFonts w:ascii="Times New Roman" w:hAnsi="Times New Roman"/>
                <w:color w:val="000000"/>
                <w:sz w:val="18"/>
              </w:rPr>
              <w:t xml:space="preserve">3.17</w:t>
            </w:r>
          </w:p>
        </w:tc>
        <w:tc>
          <w:tcPr>
            <w:tcW w:w="2026" w:type="dxa"/>
            <w:vAlign w:val="center"/>
            <w:shd w:fill="F2F2F2"/>
          </w:tcPr>
          <w:p>
            <w:pPr>
              <w:pStyle w:val="1"/>
              <w:widowControl/>
              <w:spacing w:after="0" w:line="240" w:lineRule="auto"/>
              <w:jc w:val="center"/>
            </w:pPr>
            <w:r>
              <w:rPr>
                <w:rFonts w:ascii="Times New Roman" w:hAnsi="Times New Roman"/>
                <w:color w:val="000000"/>
                <w:sz w:val="18"/>
              </w:rPr>
              <w:t xml:space="preserve">8.76</w:t>
            </w:r>
          </w:p>
        </w:tc>
      </w:tr>
      <w:tr>
        <w:trPr>
          <w:cantSplit/>
        </w:trPr>
        <w:tc>
          <w:tcPr>
            <w:tcW w:w="2100" w:type="dxa"/>
            <w:vAlign w:val="center"/>
            <w:shd w:fill="FFFFFF"/>
          </w:tcPr>
          <w:p>
            <w:pPr>
              <w:pStyle w:val="1"/>
              <w:widowControl/>
              <w:spacing w:after="0" w:line="240" w:lineRule="auto"/>
              <w:jc w:val="left"/>
            </w:pPr>
            <w:r>
              <w:rPr>
                <w:rFonts w:ascii="Times New Roman" w:hAnsi="Times New Roman"/>
                <w:color w:val="000000"/>
                <w:sz w:val="18"/>
              </w:rPr>
              <w:t xml:space="preserve">DAG</w:t>
            </w:r>
          </w:p>
        </w:tc>
        <w:tc>
          <w:tcPr>
            <w:tcW w:w="1300" w:type="dxa"/>
            <w:vAlign w:val="center"/>
            <w:shd w:fill="FFFFFF"/>
          </w:tcPr>
          <w:p>
            <w:pPr>
              <w:pStyle w:val="1"/>
              <w:widowControl/>
              <w:spacing w:after="0" w:line="240" w:lineRule="auto"/>
              <w:jc w:val="center"/>
            </w:pPr>
            <w:r>
              <w:rPr>
                <w:rFonts w:ascii="Times New Roman" w:hAnsi="Times New Roman"/>
                <w:color w:val="000000"/>
                <w:sz w:val="18"/>
              </w:rPr>
              <w:t xml:space="preserve">31</w:t>
            </w:r>
          </w:p>
        </w:tc>
        <w:tc>
          <w:tcPr>
            <w:tcW w:w="1500" w:type="dxa"/>
            <w:vAlign w:val="center"/>
            <w:shd w:fill="FFFFFF"/>
          </w:tcPr>
          <w:p>
            <w:pPr>
              <w:pStyle w:val="1"/>
              <w:widowControl/>
              <w:spacing w:after="0" w:line="240" w:lineRule="auto"/>
              <w:jc w:val="center"/>
            </w:pPr>
            <w:r>
              <w:rPr>
                <w:rFonts w:ascii="Times New Roman" w:hAnsi="Times New Roman"/>
                <w:color w:val="000000"/>
                <w:sz w:val="18"/>
              </w:rPr>
              <w:t xml:space="preserve">5.42</w:t>
            </w:r>
          </w:p>
        </w:tc>
        <w:tc>
          <w:tcPr>
            <w:tcW w:w="2100" w:type="dxa"/>
            <w:vAlign w:val="center"/>
            <w:shd w:fill="FFFFFF"/>
          </w:tcPr>
          <w:p>
            <w:pPr>
              <w:pStyle w:val="1"/>
              <w:widowControl/>
              <w:spacing w:after="0" w:line="240" w:lineRule="auto"/>
              <w:jc w:val="center"/>
            </w:pPr>
            <w:r>
              <w:rPr>
                <w:rFonts w:ascii="Times New Roman" w:hAnsi="Times New Roman"/>
                <w:color w:val="000000"/>
                <w:sz w:val="18"/>
              </w:rPr>
              <w:t xml:space="preserve">3.53</w:t>
            </w:r>
          </w:p>
        </w:tc>
        <w:tc>
          <w:tcPr>
            <w:tcW w:w="2026" w:type="dxa"/>
            <w:vAlign w:val="center"/>
            <w:shd w:fill="FFFFFF"/>
          </w:tcPr>
          <w:p>
            <w:pPr>
              <w:pStyle w:val="1"/>
              <w:widowControl/>
              <w:spacing w:after="0" w:line="240" w:lineRule="auto"/>
              <w:jc w:val="center"/>
            </w:pPr>
            <w:r>
              <w:rPr>
                <w:rFonts w:ascii="Times New Roman" w:hAnsi="Times New Roman"/>
                <w:color w:val="000000"/>
                <w:sz w:val="18"/>
              </w:rPr>
              <w:t xml:space="preserve">8.82</w:t>
            </w:r>
          </w:p>
        </w:tc>
      </w:tr>
    </w:tbl>
    <w:p>
      <w:pPr>
        <w:pStyle w:val="1"/>
        <w:widowControl/>
        <w:spacing w:after="60" w:line="60" w:lineRule="exact"/>
      </w:pPr>
      <w:r>
        <w:rPr>
          <w:rFonts w:ascii="Times New Roman" w:hAnsi="Times New Roman"/>
          <w:sz w:val="22"/>
        </w:rPr>
        <w:t xml:space="preserve"/>
      </w:r>
    </w:p>
    <w:p>
      <w:pPr>
        <w:pStyle w:val="1"/>
        <w:widowControl/>
        <w:spacing w:after="120" w:line="276" w:lineRule="auto"/>
        <w:jc w:val="both"/>
      </w:pPr>
      <w:r>
        <w:rPr>
          <w:rFonts w:ascii="Times New Roman" w:hAnsi="Times New Roman"/>
          <w:b w:val="0"/>
          <w:sz w:val="22"/>
        </w:rPr>
        <w:t xml:space="preserve">The nanosecond scale of these workloads made harness overhead relevant to interpretation. The reported runtime included function invocation and loop overhead and excluded process startup. It did not isolate the latency of individual source operators, and the median across programs did not remove hardware, clock, or measurement noise. No claim of statistically significant runtime improvement was made from these descriptive differences.</w:t>
      </w:r>
    </w:p>
    <w:p>
      <w:pPr>
        <w:pStyle w:val="3"/>
        <w:keepNext/>
        <w:keepLines/>
        <w:widowControl/>
        <w:spacing w:before="220" w:after="120"/>
      </w:pPr>
      <w:r>
        <w:rPr>
          <w:rFonts w:ascii="Times New Roman" w:hAnsi="Times New Roman"/>
          <w:b/>
          <w:color w:val="1F3864"/>
          <w:sz w:val="23"/>
        </w:rPr>
        <w:t xml:space="preserve">4.3 Held out runtime prediction</w:t>
      </w:r>
    </w:p>
    <w:p>
      <w:pPr>
        <w:pStyle w:val="1"/>
        <w:widowControl/>
        <w:spacing w:after="120" w:line="276" w:lineRule="auto"/>
        <w:jc w:val="both"/>
      </w:pPr>
      <w:r>
        <w:rPr>
          <w:rFonts w:ascii="Times New Roman" w:hAnsi="Times New Roman"/>
          <w:b w:val="0"/>
          <w:sz w:val="22"/>
        </w:rPr>
        <w:t xml:space="preserve">All three learned runtime models underperformed the training mean reference on the seven test programs. Table 4 gives the recorded error metrics, converted from milliseconds to nanoseconds by multiplying by one million. Baseline mean absolute error was 12.80 ns compared with a reference error of 9.02 ns; lightweight error was 12.46 ns compared with 8.90 ns; DAG error was 12.73 ns compared with 9.13 ns. The learned errors were approximately 42%, 40%, and 39% higher than their corresponding reference errors, respectively.</w:t>
      </w:r>
    </w:p>
    <w:p>
      <w:pPr>
        <w:pStyle w:val="1"/>
        <w:keepNext/>
        <w:widowControl/>
        <w:spacing w:before="140" w:after="80"/>
      </w:pPr>
      <w:r>
        <w:rPr>
          <w:rFonts w:ascii="Times New Roman" w:hAnsi="Times New Roman"/>
          <w:b/>
          <w:sz w:val="19"/>
        </w:rPr>
        <w:t xml:space="preserve">Table 4. Held out runtime prediction errors on seven programs. MAE is mean absolute error; RMSE is root mean squared error. Lower errors are better.</w:t>
      </w:r>
    </w:p>
    <w:tbl>
      <w:tblPr>
        <w:tblStyle w:val="9"/>
        <w:tblW w:w="9026"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90" w:type="dxa"/>
          <w:left w:w="100" w:type="dxa"/>
          <w:bottom w:w="90" w:type="dxa"/>
          <w:right w:w="100" w:type="dxa"/>
        </w:tblCellMar>
      </w:tblPr>
      <w:tblGrid>
        <w:gridCol w:w="1700"/>
        <w:gridCol w:w="1450"/>
        <w:gridCol w:w="1550"/>
        <w:gridCol w:w="1700"/>
        <w:gridCol w:w="2626"/>
      </w:tblGrid>
      <w:tr>
        <w:trPr>
          <w:cantSplit/>
          <w:tblHeader/>
        </w:trPr>
        <w:tc>
          <w:tcPr>
            <w:tcW w:w="1700" w:type="dxa"/>
            <w:vAlign w:val="center"/>
            <w:shd w:fill="1F3864"/>
          </w:tcPr>
          <w:p>
            <w:pPr>
              <w:pStyle w:val="1"/>
              <w:widowControl/>
              <w:spacing w:after="0" w:line="240" w:lineRule="auto"/>
              <w:jc w:val="left"/>
            </w:pPr>
            <w:r>
              <w:rPr>
                <w:rFonts w:ascii="Times New Roman" w:hAnsi="Times New Roman"/>
                <w:b/>
                <w:color w:val="FFFFFF"/>
                <w:sz w:val="18"/>
              </w:rPr>
              <w:t xml:space="preserve">Strategy</w:t>
            </w:r>
          </w:p>
        </w:tc>
        <w:tc>
          <w:tcPr>
            <w:tcW w:w="1450" w:type="dxa"/>
            <w:vAlign w:val="center"/>
            <w:shd w:fill="1F3864"/>
          </w:tcPr>
          <w:p>
            <w:pPr>
              <w:pStyle w:val="1"/>
              <w:widowControl/>
              <w:spacing w:after="0" w:line="240" w:lineRule="auto"/>
              <w:jc w:val="center"/>
            </w:pPr>
            <w:r>
              <w:rPr>
                <w:rFonts w:ascii="Times New Roman" w:hAnsi="Times New Roman"/>
                <w:b/>
                <w:color w:val="FFFFFF"/>
                <w:sz w:val="18"/>
              </w:rPr>
              <w:t xml:space="preserve">MAE ns</w:t>
            </w:r>
          </w:p>
        </w:tc>
        <w:tc>
          <w:tcPr>
            <w:tcW w:w="1550" w:type="dxa"/>
            <w:vAlign w:val="center"/>
            <w:shd w:fill="1F3864"/>
          </w:tcPr>
          <w:p>
            <w:pPr>
              <w:pStyle w:val="1"/>
              <w:widowControl/>
              <w:spacing w:after="0" w:line="240" w:lineRule="auto"/>
              <w:jc w:val="center"/>
            </w:pPr>
            <w:r>
              <w:rPr>
                <w:rFonts w:ascii="Times New Roman" w:hAnsi="Times New Roman"/>
                <w:b/>
                <w:color w:val="FFFFFF"/>
                <w:sz w:val="18"/>
              </w:rPr>
              <w:t xml:space="preserve">RMSE ns</w:t>
            </w:r>
          </w:p>
        </w:tc>
        <w:tc>
          <w:tcPr>
            <w:tcW w:w="1700" w:type="dxa"/>
            <w:vAlign w:val="center"/>
            <w:shd w:fill="1F3864"/>
          </w:tcPr>
          <w:p>
            <w:pPr>
              <w:pStyle w:val="1"/>
              <w:widowControl/>
              <w:spacing w:after="0" w:line="240" w:lineRule="auto"/>
              <w:jc w:val="center"/>
            </w:pPr>
            <w:r>
              <w:rPr>
                <w:rFonts w:ascii="Times New Roman" w:hAnsi="Times New Roman"/>
                <w:b/>
                <w:color w:val="FFFFFF"/>
                <w:sz w:val="18"/>
              </w:rPr>
              <w:t xml:space="preserve">R squared</w:t>
            </w:r>
          </w:p>
        </w:tc>
        <w:tc>
          <w:tcPr>
            <w:tcW w:w="2626" w:type="dxa"/>
            <w:vAlign w:val="center"/>
            <w:shd w:fill="1F3864"/>
          </w:tcPr>
          <w:p>
            <w:pPr>
              <w:pStyle w:val="1"/>
              <w:widowControl/>
              <w:spacing w:after="0" w:line="240" w:lineRule="auto"/>
              <w:jc w:val="center"/>
            </w:pPr>
            <w:r>
              <w:rPr>
                <w:rFonts w:ascii="Times New Roman" w:hAnsi="Times New Roman"/>
                <w:b/>
                <w:color w:val="FFFFFF"/>
                <w:sz w:val="18"/>
              </w:rPr>
              <w:t xml:space="preserve">Mean reference MAE ns</w:t>
            </w:r>
          </w:p>
        </w:tc>
      </w:tr>
      <w:tr>
        <w:trPr>
          <w:cantSplit/>
        </w:trPr>
        <w:tc>
          <w:tcPr>
            <w:tcW w:w="1700" w:type="dxa"/>
            <w:vAlign w:val="center"/>
            <w:shd w:fill="FFFFFF"/>
          </w:tcPr>
          <w:p>
            <w:pPr>
              <w:pStyle w:val="1"/>
              <w:widowControl/>
              <w:spacing w:after="0" w:line="240" w:lineRule="auto"/>
              <w:jc w:val="left"/>
            </w:pPr>
            <w:r>
              <w:rPr>
                <w:rFonts w:ascii="Times New Roman" w:hAnsi="Times New Roman"/>
                <w:color w:val="000000"/>
                <w:sz w:val="18"/>
              </w:rPr>
              <w:t xml:space="preserve">Baseline</w:t>
            </w:r>
          </w:p>
        </w:tc>
        <w:tc>
          <w:tcPr>
            <w:tcW w:w="1450" w:type="dxa"/>
            <w:vAlign w:val="center"/>
            <w:shd w:fill="FFFFFF"/>
          </w:tcPr>
          <w:p>
            <w:pPr>
              <w:pStyle w:val="1"/>
              <w:widowControl/>
              <w:spacing w:after="0" w:line="240" w:lineRule="auto"/>
              <w:jc w:val="center"/>
            </w:pPr>
            <w:r>
              <w:rPr>
                <w:rFonts w:ascii="Times New Roman" w:hAnsi="Times New Roman"/>
                <w:color w:val="000000"/>
                <w:sz w:val="18"/>
              </w:rPr>
              <w:t xml:space="preserve">12.80</w:t>
            </w:r>
          </w:p>
        </w:tc>
        <w:tc>
          <w:tcPr>
            <w:tcW w:w="1550" w:type="dxa"/>
            <w:vAlign w:val="center"/>
            <w:shd w:fill="FFFFFF"/>
          </w:tcPr>
          <w:p>
            <w:pPr>
              <w:pStyle w:val="1"/>
              <w:widowControl/>
              <w:spacing w:after="0" w:line="240" w:lineRule="auto"/>
              <w:jc w:val="center"/>
            </w:pPr>
            <w:r>
              <w:rPr>
                <w:rFonts w:ascii="Times New Roman" w:hAnsi="Times New Roman"/>
                <w:color w:val="000000"/>
                <w:sz w:val="18"/>
              </w:rPr>
              <w:t xml:space="preserve">14.01</w:t>
            </w:r>
          </w:p>
        </w:tc>
        <w:tc>
          <w:tcPr>
            <w:tcW w:w="1700" w:type="dxa"/>
            <w:vAlign w:val="center"/>
            <w:shd w:fill="FFFFFF"/>
          </w:tcPr>
          <w:p>
            <w:pPr>
              <w:pStyle w:val="1"/>
              <w:widowControl/>
              <w:spacing w:after="0" w:line="240" w:lineRule="auto"/>
              <w:jc w:val="center"/>
            </w:pPr>
            <w:r>
              <w:rPr>
                <w:rFonts w:ascii="Times New Roman" w:hAnsi="Times New Roman"/>
                <w:color w:val="000000"/>
                <w:sz w:val="18"/>
              </w:rPr>
              <w:t xml:space="preserve">-139.15</w:t>
            </w:r>
          </w:p>
        </w:tc>
        <w:tc>
          <w:tcPr>
            <w:tcW w:w="2626" w:type="dxa"/>
            <w:vAlign w:val="center"/>
            <w:shd w:fill="FFFFFF"/>
          </w:tcPr>
          <w:p>
            <w:pPr>
              <w:pStyle w:val="1"/>
              <w:widowControl/>
              <w:spacing w:after="0" w:line="240" w:lineRule="auto"/>
              <w:jc w:val="center"/>
            </w:pPr>
            <w:r>
              <w:rPr>
                <w:rFonts w:ascii="Times New Roman" w:hAnsi="Times New Roman"/>
                <w:color w:val="000000"/>
                <w:sz w:val="18"/>
              </w:rPr>
              <w:t xml:space="preserve">9.02</w:t>
            </w:r>
          </w:p>
        </w:tc>
      </w:tr>
      <w:tr>
        <w:trPr>
          <w:cantSplit/>
        </w:trPr>
        <w:tc>
          <w:tcPr>
            <w:tcW w:w="1700" w:type="dxa"/>
            <w:vAlign w:val="center"/>
            <w:shd w:fill="F2F2F2"/>
          </w:tcPr>
          <w:p>
            <w:pPr>
              <w:pStyle w:val="1"/>
              <w:widowControl/>
              <w:spacing w:after="0" w:line="240" w:lineRule="auto"/>
              <w:jc w:val="left"/>
            </w:pPr>
            <w:r>
              <w:rPr>
                <w:rFonts w:ascii="Times New Roman" w:hAnsi="Times New Roman"/>
                <w:color w:val="000000"/>
                <w:sz w:val="18"/>
              </w:rPr>
              <w:t xml:space="preserve">Lightweight</w:t>
            </w:r>
          </w:p>
        </w:tc>
        <w:tc>
          <w:tcPr>
            <w:tcW w:w="1450" w:type="dxa"/>
            <w:vAlign w:val="center"/>
            <w:shd w:fill="F2F2F2"/>
          </w:tcPr>
          <w:p>
            <w:pPr>
              <w:pStyle w:val="1"/>
              <w:widowControl/>
              <w:spacing w:after="0" w:line="240" w:lineRule="auto"/>
              <w:jc w:val="center"/>
            </w:pPr>
            <w:r>
              <w:rPr>
                <w:rFonts w:ascii="Times New Roman" w:hAnsi="Times New Roman"/>
                <w:color w:val="000000"/>
                <w:sz w:val="18"/>
              </w:rPr>
              <w:t xml:space="preserve">12.46</w:t>
            </w:r>
          </w:p>
        </w:tc>
        <w:tc>
          <w:tcPr>
            <w:tcW w:w="1550" w:type="dxa"/>
            <w:vAlign w:val="center"/>
            <w:shd w:fill="F2F2F2"/>
          </w:tcPr>
          <w:p>
            <w:pPr>
              <w:pStyle w:val="1"/>
              <w:widowControl/>
              <w:spacing w:after="0" w:line="240" w:lineRule="auto"/>
              <w:jc w:val="center"/>
            </w:pPr>
            <w:r>
              <w:rPr>
                <w:rFonts w:ascii="Times New Roman" w:hAnsi="Times New Roman"/>
                <w:color w:val="000000"/>
                <w:sz w:val="18"/>
              </w:rPr>
              <w:t xml:space="preserve">13.63</w:t>
            </w:r>
          </w:p>
        </w:tc>
        <w:tc>
          <w:tcPr>
            <w:tcW w:w="1700" w:type="dxa"/>
            <w:vAlign w:val="center"/>
            <w:shd w:fill="F2F2F2"/>
          </w:tcPr>
          <w:p>
            <w:pPr>
              <w:pStyle w:val="1"/>
              <w:widowControl/>
              <w:spacing w:after="0" w:line="240" w:lineRule="auto"/>
              <w:jc w:val="center"/>
            </w:pPr>
            <w:r>
              <w:rPr>
                <w:rFonts w:ascii="Times New Roman" w:hAnsi="Times New Roman"/>
                <w:color w:val="000000"/>
                <w:sz w:val="18"/>
              </w:rPr>
              <w:t xml:space="preserve">-118.16</w:t>
            </w:r>
          </w:p>
        </w:tc>
        <w:tc>
          <w:tcPr>
            <w:tcW w:w="2626" w:type="dxa"/>
            <w:vAlign w:val="center"/>
            <w:shd w:fill="F2F2F2"/>
          </w:tcPr>
          <w:p>
            <w:pPr>
              <w:pStyle w:val="1"/>
              <w:widowControl/>
              <w:spacing w:after="0" w:line="240" w:lineRule="auto"/>
              <w:jc w:val="center"/>
            </w:pPr>
            <w:r>
              <w:rPr>
                <w:rFonts w:ascii="Times New Roman" w:hAnsi="Times New Roman"/>
                <w:color w:val="000000"/>
                <w:sz w:val="18"/>
              </w:rPr>
              <w:t xml:space="preserve">8.90</w:t>
            </w:r>
          </w:p>
        </w:tc>
      </w:tr>
      <w:tr>
        <w:trPr>
          <w:cantSplit/>
        </w:trPr>
        <w:tc>
          <w:tcPr>
            <w:tcW w:w="1700" w:type="dxa"/>
            <w:vAlign w:val="center"/>
            <w:shd w:fill="FFFFFF"/>
          </w:tcPr>
          <w:p>
            <w:pPr>
              <w:pStyle w:val="1"/>
              <w:widowControl/>
              <w:spacing w:after="0" w:line="240" w:lineRule="auto"/>
              <w:jc w:val="left"/>
            </w:pPr>
            <w:r>
              <w:rPr>
                <w:rFonts w:ascii="Times New Roman" w:hAnsi="Times New Roman"/>
                <w:color w:val="000000"/>
                <w:sz w:val="18"/>
              </w:rPr>
              <w:t xml:space="preserve">DAG</w:t>
            </w:r>
          </w:p>
        </w:tc>
        <w:tc>
          <w:tcPr>
            <w:tcW w:w="1450" w:type="dxa"/>
            <w:vAlign w:val="center"/>
            <w:shd w:fill="FFFFFF"/>
          </w:tcPr>
          <w:p>
            <w:pPr>
              <w:pStyle w:val="1"/>
              <w:widowControl/>
              <w:spacing w:after="0" w:line="240" w:lineRule="auto"/>
              <w:jc w:val="center"/>
            </w:pPr>
            <w:r>
              <w:rPr>
                <w:rFonts w:ascii="Times New Roman" w:hAnsi="Times New Roman"/>
                <w:color w:val="000000"/>
                <w:sz w:val="18"/>
              </w:rPr>
              <w:t xml:space="preserve">12.73</w:t>
            </w:r>
          </w:p>
        </w:tc>
        <w:tc>
          <w:tcPr>
            <w:tcW w:w="1550" w:type="dxa"/>
            <w:vAlign w:val="center"/>
            <w:shd w:fill="FFFFFF"/>
          </w:tcPr>
          <w:p>
            <w:pPr>
              <w:pStyle w:val="1"/>
              <w:widowControl/>
              <w:spacing w:after="0" w:line="240" w:lineRule="auto"/>
              <w:jc w:val="center"/>
            </w:pPr>
            <w:r>
              <w:rPr>
                <w:rFonts w:ascii="Times New Roman" w:hAnsi="Times New Roman"/>
                <w:color w:val="000000"/>
                <w:sz w:val="18"/>
              </w:rPr>
              <w:t xml:space="preserve">13.84</w:t>
            </w:r>
          </w:p>
        </w:tc>
        <w:tc>
          <w:tcPr>
            <w:tcW w:w="1700" w:type="dxa"/>
            <w:vAlign w:val="center"/>
            <w:shd w:fill="FFFFFF"/>
          </w:tcPr>
          <w:p>
            <w:pPr>
              <w:pStyle w:val="1"/>
              <w:widowControl/>
              <w:spacing w:after="0" w:line="240" w:lineRule="auto"/>
              <w:jc w:val="center"/>
            </w:pPr>
            <w:r>
              <w:rPr>
                <w:rFonts w:ascii="Times New Roman" w:hAnsi="Times New Roman"/>
                <w:color w:val="000000"/>
                <w:sz w:val="18"/>
              </w:rPr>
              <w:t xml:space="preserve">-194.40</w:t>
            </w:r>
          </w:p>
        </w:tc>
        <w:tc>
          <w:tcPr>
            <w:tcW w:w="2626" w:type="dxa"/>
            <w:vAlign w:val="center"/>
            <w:shd w:fill="FFFFFF"/>
          </w:tcPr>
          <w:p>
            <w:pPr>
              <w:pStyle w:val="1"/>
              <w:widowControl/>
              <w:spacing w:after="0" w:line="240" w:lineRule="auto"/>
              <w:jc w:val="center"/>
            </w:pPr>
            <w:r>
              <w:rPr>
                <w:rFonts w:ascii="Times New Roman" w:hAnsi="Times New Roman"/>
                <w:color w:val="000000"/>
                <w:sz w:val="18"/>
              </w:rPr>
              <w:t xml:space="preserve">9.13</w:t>
            </w:r>
          </w:p>
        </w:tc>
      </w:tr>
    </w:tbl>
    <w:p>
      <w:pPr>
        <w:pStyle w:val="1"/>
        <w:widowControl/>
        <w:spacing w:after="60" w:line="60" w:lineRule="exact"/>
      </w:pPr>
      <w:r>
        <w:rPr>
          <w:rFonts w:ascii="Times New Roman" w:hAnsi="Times New Roman"/>
          <w:sz w:val="22"/>
        </w:rPr>
        <w:t xml:space="preserve"/>
      </w:r>
    </w:p>
    <w:p>
      <w:pPr>
        <w:pStyle w:val="1"/>
        <w:widowControl/>
        <w:spacing w:after="120" w:line="276" w:lineRule="auto"/>
        <w:jc w:val="both"/>
      </w:pPr>
      <w:r>
        <w:rPr>
          <w:rFonts w:ascii="Times New Roman" w:hAnsi="Times New Roman"/>
          <w:b w:val="0"/>
          <w:sz w:val="22"/>
        </w:rPr>
        <w:t xml:space="preserve">The strongly negative coefficients of determination indicated squared prediction errors larger than the variance based reference of that metric. They did not represent a negative runtime or a percentage accuracy. No validation predictions required clipping in the recorded metrics. Figure 2 compares the learned and training mean absolute errors without error bars because the available scores describe one fixed holdout split, not repeated independent validation trials.</w:t>
      </w:r>
    </w:p>
    <w:p>
      <w:pPr>
        <w:keepNext/>
        <w:spacing w:before="120" w:after="60"/>
        <w:jc w:val="center"/>
      </w:pPr>
      <w:r>
        <w:drawing>
          <wp:inline distT="0" distB="0" distL="0" distR="0">
            <wp:extent cx="5731510" cy="2316993"/>
            <wp:docPr id="902" name="Figure 2" descr="Figure 2. Mean absolute runtime prediction error on the seven held out programs. Gray bars show the learned Ridge models and outlined bars show the training mean reference. Values are nanoseconds; no uncertainty intervals were estimated from repeated splits."/>
            <wp:cNvGraphicFramePr/>
            <a:graphic xmlns:a="http://schemas.openxmlformats.org/drawingml/2006/main">
              <a:graphicData uri="http://schemas.openxmlformats.org/drawingml/2006/picture">
                <pic:pic xmlns:pic="http://schemas.openxmlformats.org/drawingml/2006/picture">
                  <pic:nvPicPr>
                    <pic:cNvPr id="0" name="prediction_errors.png"/>
                    <pic:cNvPicPr/>
                  </pic:nvPicPr>
                  <pic:blipFill>
                    <a:blip r:embed="rIdGreenFigure2"/>
                    <a:stretch>
                      <a:fillRect/>
                    </a:stretch>
                  </pic:blipFill>
                  <pic:spPr>
                    <a:xfrm>
                      <a:off x="0" y="0"/>
                      <a:ext cx="5731510" cy="2316993"/>
                    </a:xfrm>
                    <a:prstGeom prst="rect">
                      <a:avLst/>
                    </a:prstGeom>
                  </pic:spPr>
                </pic:pic>
              </a:graphicData>
            </a:graphic>
          </wp:inline>
        </w:drawing>
      </w:r>
    </w:p>
    <w:p>
      <w:pPr>
        <w:pStyle w:val="1"/>
        <w:keepLines/>
        <w:widowControl/>
        <w:spacing w:after="160"/>
      </w:pPr>
      <w:r>
        <w:rPr>
          <w:rFonts w:ascii="Times New Roman" w:hAnsi="Times New Roman"/>
          <w:sz w:val="19"/>
        </w:rPr>
        <w:t xml:space="preserve">Figure 2. Mean absolute runtime prediction error on the seven held out programs. Gray bars show the learned Ridge models and outlined bars show the training mean reference. Values are nanoseconds; no uncertainty intervals were estimated from repeated splits.</w:t>
      </w:r>
    </w:p>
    <w:p>
      <w:pPr>
        <w:pStyle w:val="1"/>
        <w:widowControl/>
        <w:spacing w:after="120" w:line="276" w:lineRule="auto"/>
        <w:jc w:val="both"/>
      </w:pPr>
      <w:r>
        <w:rPr>
          <w:rFonts w:ascii="Times New Roman" w:hAnsi="Times New Roman"/>
          <w:b w:val="0"/>
          <w:sz w:val="22"/>
        </w:rPr>
        <w:t xml:space="preserve">After evaluation, the exported runtime coefficients were refitted on all 31 programs. That final refit enabled the selector to make predictions but did not change the reported held out result. The model file contained no usable energy regression coefficients, consistent with the absence of physical energy targets. The runtime constraint in the demonstrations was consequently a check on an exploratory predictor rather than a measured slowdown guarantee.</w:t>
      </w:r>
    </w:p>
    <w:p>
      <w:pPr>
        <w:pStyle w:val="3"/>
        <w:keepNext/>
        <w:keepLines/>
        <w:widowControl/>
        <w:spacing w:before="220" w:after="120"/>
      </w:pPr>
      <w:r>
        <w:rPr>
          <w:rFonts w:ascii="Times New Roman" w:hAnsi="Times New Roman"/>
          <w:b/>
          <w:color w:val="1F3864"/>
          <w:sz w:val="23"/>
        </w:rPr>
        <w:t xml:space="preserve">4.4 Adaptive selection scenarios</w:t>
      </w:r>
    </w:p>
    <w:p>
      <w:pPr>
        <w:pStyle w:val="1"/>
        <w:widowControl/>
        <w:spacing w:after="120" w:line="276" w:lineRule="auto"/>
        <w:jc w:val="both"/>
      </w:pPr>
      <w:r>
        <w:rPr>
          <w:rFonts w:ascii="Times New Roman" w:hAnsi="Times New Roman"/>
          <w:b w:val="0"/>
          <w:sz w:val="22"/>
        </w:rPr>
        <w:t xml:space="preserve">Table 5 reports selected scenario outcomes. With compilation intensity 700 and execution intensity 200 gCO2e/kWh, increasing expected executions from one to three to ten selected baseline, lightweight, and DAG, respectively. At one execution, lowering compilation intensity to 200 while holding execution intensity at 200 selected lightweight. Increasing execution intensity to 700 while retaining compilation intensity 700 also selected lightweight. Combining compilation intensity 200 with execution intensity 700 selected DAG.</w:t>
      </w:r>
    </w:p>
    <w:p>
      <w:pPr>
        <w:pStyle w:val="1"/>
        <w:keepNext/>
        <w:widowControl/>
        <w:spacing w:before="140" w:after="80"/>
      </w:pPr>
      <w:r>
        <w:rPr>
          <w:rFonts w:ascii="Times New Roman" w:hAnsi="Times New Roman"/>
          <w:b/>
          <w:sz w:val="19"/>
        </w:rPr>
        <w:t xml:space="preserve">Table 5. Strategy choices under hypothetical carbon intensities and proxy energy. Intensities are gCO2e/kWh.</w:t>
      </w:r>
    </w:p>
    <w:tbl>
      <w:tblPr>
        <w:tblStyle w:val="9"/>
        <w:tblW w:w="9026" w:type="dxa"/>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90" w:type="dxa"/>
          <w:left w:w="100" w:type="dxa"/>
          <w:bottom w:w="90" w:type="dxa"/>
          <w:right w:w="100" w:type="dxa"/>
        </w:tblCellMar>
      </w:tblPr>
      <w:tblGrid>
        <w:gridCol w:w="2226"/>
        <w:gridCol w:w="2200"/>
        <w:gridCol w:w="2200"/>
        <w:gridCol w:w="2400"/>
      </w:tblGrid>
      <w:tr>
        <w:trPr>
          <w:cantSplit/>
          <w:tblHeader/>
        </w:trPr>
        <w:tc>
          <w:tcPr>
            <w:tcW w:w="2226" w:type="dxa"/>
            <w:vAlign w:val="center"/>
            <w:shd w:fill="1F3864"/>
          </w:tcPr>
          <w:p>
            <w:pPr>
              <w:pStyle w:val="1"/>
              <w:widowControl/>
              <w:spacing w:after="0" w:line="240" w:lineRule="auto"/>
              <w:jc w:val="left"/>
            </w:pPr>
            <w:r>
              <w:rPr>
                <w:rFonts w:ascii="Times New Roman" w:hAnsi="Times New Roman"/>
                <w:b/>
                <w:color w:val="FFFFFF"/>
                <w:sz w:val="18"/>
              </w:rPr>
              <w:t xml:space="preserve">Expected executions</w:t>
            </w:r>
          </w:p>
        </w:tc>
        <w:tc>
          <w:tcPr>
            <w:tcW w:w="2200" w:type="dxa"/>
            <w:vAlign w:val="center"/>
            <w:shd w:fill="1F3864"/>
          </w:tcPr>
          <w:p>
            <w:pPr>
              <w:pStyle w:val="1"/>
              <w:widowControl/>
              <w:spacing w:after="0" w:line="240" w:lineRule="auto"/>
              <w:jc w:val="center"/>
            </w:pPr>
            <w:r>
              <w:rPr>
                <w:rFonts w:ascii="Times New Roman" w:hAnsi="Times New Roman"/>
                <w:b/>
                <w:color w:val="FFFFFF"/>
                <w:sz w:val="18"/>
              </w:rPr>
              <w:t xml:space="preserve">Compile intensity</w:t>
            </w:r>
          </w:p>
        </w:tc>
        <w:tc>
          <w:tcPr>
            <w:tcW w:w="2200" w:type="dxa"/>
            <w:vAlign w:val="center"/>
            <w:shd w:fill="1F3864"/>
          </w:tcPr>
          <w:p>
            <w:pPr>
              <w:pStyle w:val="1"/>
              <w:widowControl/>
              <w:spacing w:after="0" w:line="240" w:lineRule="auto"/>
              <w:jc w:val="center"/>
            </w:pPr>
            <w:r>
              <w:rPr>
                <w:rFonts w:ascii="Times New Roman" w:hAnsi="Times New Roman"/>
                <w:b/>
                <w:color w:val="FFFFFF"/>
                <w:sz w:val="18"/>
              </w:rPr>
              <w:t xml:space="preserve">Runtime intensity</w:t>
            </w:r>
          </w:p>
        </w:tc>
        <w:tc>
          <w:tcPr>
            <w:tcW w:w="2400" w:type="dxa"/>
            <w:vAlign w:val="center"/>
            <w:shd w:fill="1F3864"/>
          </w:tcPr>
          <w:p>
            <w:pPr>
              <w:pStyle w:val="1"/>
              <w:widowControl/>
              <w:spacing w:after="0" w:line="240" w:lineRule="auto"/>
              <w:jc w:val="center"/>
            </w:pPr>
            <w:r>
              <w:rPr>
                <w:rFonts w:ascii="Times New Roman" w:hAnsi="Times New Roman"/>
                <w:b/>
                <w:color w:val="FFFFFF"/>
                <w:sz w:val="18"/>
              </w:rPr>
              <w:t xml:space="preserve">Selected strategy</w:t>
            </w:r>
          </w:p>
        </w:tc>
      </w:tr>
      <w:tr>
        <w:trPr>
          <w:cantSplit/>
        </w:trPr>
        <w:tc>
          <w:tcPr>
            <w:tcW w:w="2226" w:type="dxa"/>
            <w:vAlign w:val="center"/>
            <w:shd w:fill="FFFFFF"/>
          </w:tcPr>
          <w:p>
            <w:pPr>
              <w:pStyle w:val="1"/>
              <w:widowControl/>
              <w:spacing w:after="0" w:line="240" w:lineRule="auto"/>
              <w:jc w:val="left"/>
            </w:pPr>
            <w:r>
              <w:rPr>
                <w:rFonts w:ascii="Times New Roman" w:hAnsi="Times New Roman"/>
                <w:color w:val="000000"/>
                <w:sz w:val="18"/>
              </w:rPr>
              <w:t xml:space="preserve">1</w:t>
            </w:r>
          </w:p>
        </w:tc>
        <w:tc>
          <w:tcPr>
            <w:tcW w:w="2200" w:type="dxa"/>
            <w:vAlign w:val="center"/>
            <w:shd w:fill="FFFFFF"/>
          </w:tcPr>
          <w:p>
            <w:pPr>
              <w:pStyle w:val="1"/>
              <w:widowControl/>
              <w:spacing w:after="0" w:line="240" w:lineRule="auto"/>
              <w:jc w:val="center"/>
            </w:pPr>
            <w:r>
              <w:rPr>
                <w:rFonts w:ascii="Times New Roman" w:hAnsi="Times New Roman"/>
                <w:color w:val="000000"/>
                <w:sz w:val="18"/>
              </w:rPr>
              <w:t xml:space="preserve">700</w:t>
            </w:r>
          </w:p>
        </w:tc>
        <w:tc>
          <w:tcPr>
            <w:tcW w:w="2200" w:type="dxa"/>
            <w:vAlign w:val="center"/>
            <w:shd w:fill="FFFFFF"/>
          </w:tcPr>
          <w:p>
            <w:pPr>
              <w:pStyle w:val="1"/>
              <w:widowControl/>
              <w:spacing w:after="0" w:line="240" w:lineRule="auto"/>
              <w:jc w:val="center"/>
            </w:pPr>
            <w:r>
              <w:rPr>
                <w:rFonts w:ascii="Times New Roman" w:hAnsi="Times New Roman"/>
                <w:color w:val="000000"/>
                <w:sz w:val="18"/>
              </w:rPr>
              <w:t xml:space="preserve">200</w:t>
            </w:r>
          </w:p>
        </w:tc>
        <w:tc>
          <w:tcPr>
            <w:tcW w:w="2400" w:type="dxa"/>
            <w:vAlign w:val="center"/>
            <w:shd w:fill="FFFFFF"/>
          </w:tcPr>
          <w:p>
            <w:pPr>
              <w:pStyle w:val="1"/>
              <w:widowControl/>
              <w:spacing w:after="0" w:line="240" w:lineRule="auto"/>
              <w:jc w:val="center"/>
            </w:pPr>
            <w:r>
              <w:rPr>
                <w:rFonts w:ascii="Times New Roman" w:hAnsi="Times New Roman"/>
                <w:color w:val="000000"/>
                <w:sz w:val="18"/>
              </w:rPr>
              <w:t xml:space="preserve">Baseline</w:t>
            </w:r>
          </w:p>
        </w:tc>
      </w:tr>
      <w:tr>
        <w:trPr>
          <w:cantSplit/>
        </w:trPr>
        <w:tc>
          <w:tcPr>
            <w:tcW w:w="2226" w:type="dxa"/>
            <w:vAlign w:val="center"/>
            <w:shd w:fill="F2F2F2"/>
          </w:tcPr>
          <w:p>
            <w:pPr>
              <w:pStyle w:val="1"/>
              <w:widowControl/>
              <w:spacing w:after="0" w:line="240" w:lineRule="auto"/>
              <w:jc w:val="left"/>
            </w:pPr>
            <w:r>
              <w:rPr>
                <w:rFonts w:ascii="Times New Roman" w:hAnsi="Times New Roman"/>
                <w:color w:val="000000"/>
                <w:sz w:val="18"/>
              </w:rPr>
              <w:t xml:space="preserve">3</w:t>
            </w:r>
          </w:p>
        </w:tc>
        <w:tc>
          <w:tcPr>
            <w:tcW w:w="2200" w:type="dxa"/>
            <w:vAlign w:val="center"/>
            <w:shd w:fill="F2F2F2"/>
          </w:tcPr>
          <w:p>
            <w:pPr>
              <w:pStyle w:val="1"/>
              <w:widowControl/>
              <w:spacing w:after="0" w:line="240" w:lineRule="auto"/>
              <w:jc w:val="center"/>
            </w:pPr>
            <w:r>
              <w:rPr>
                <w:rFonts w:ascii="Times New Roman" w:hAnsi="Times New Roman"/>
                <w:color w:val="000000"/>
                <w:sz w:val="18"/>
              </w:rPr>
              <w:t xml:space="preserve">700</w:t>
            </w:r>
          </w:p>
        </w:tc>
        <w:tc>
          <w:tcPr>
            <w:tcW w:w="2200" w:type="dxa"/>
            <w:vAlign w:val="center"/>
            <w:shd w:fill="F2F2F2"/>
          </w:tcPr>
          <w:p>
            <w:pPr>
              <w:pStyle w:val="1"/>
              <w:widowControl/>
              <w:spacing w:after="0" w:line="240" w:lineRule="auto"/>
              <w:jc w:val="center"/>
            </w:pPr>
            <w:r>
              <w:rPr>
                <w:rFonts w:ascii="Times New Roman" w:hAnsi="Times New Roman"/>
                <w:color w:val="000000"/>
                <w:sz w:val="18"/>
              </w:rPr>
              <w:t xml:space="preserve">200</w:t>
            </w:r>
          </w:p>
        </w:tc>
        <w:tc>
          <w:tcPr>
            <w:tcW w:w="2400" w:type="dxa"/>
            <w:vAlign w:val="center"/>
            <w:shd w:fill="F2F2F2"/>
          </w:tcPr>
          <w:p>
            <w:pPr>
              <w:pStyle w:val="1"/>
              <w:widowControl/>
              <w:spacing w:after="0" w:line="240" w:lineRule="auto"/>
              <w:jc w:val="center"/>
            </w:pPr>
            <w:r>
              <w:rPr>
                <w:rFonts w:ascii="Times New Roman" w:hAnsi="Times New Roman"/>
                <w:color w:val="000000"/>
                <w:sz w:val="18"/>
              </w:rPr>
              <w:t xml:space="preserve">Lightweight</w:t>
            </w:r>
          </w:p>
        </w:tc>
      </w:tr>
      <w:tr>
        <w:trPr>
          <w:cantSplit/>
        </w:trPr>
        <w:tc>
          <w:tcPr>
            <w:tcW w:w="2226" w:type="dxa"/>
            <w:vAlign w:val="center"/>
            <w:shd w:fill="FFFFFF"/>
          </w:tcPr>
          <w:p>
            <w:pPr>
              <w:pStyle w:val="1"/>
              <w:widowControl/>
              <w:spacing w:after="0" w:line="240" w:lineRule="auto"/>
              <w:jc w:val="left"/>
            </w:pPr>
            <w:r>
              <w:rPr>
                <w:rFonts w:ascii="Times New Roman" w:hAnsi="Times New Roman"/>
                <w:color w:val="000000"/>
                <w:sz w:val="18"/>
              </w:rPr>
              <w:t xml:space="preserve">10</w:t>
            </w:r>
          </w:p>
        </w:tc>
        <w:tc>
          <w:tcPr>
            <w:tcW w:w="2200" w:type="dxa"/>
            <w:vAlign w:val="center"/>
            <w:shd w:fill="FFFFFF"/>
          </w:tcPr>
          <w:p>
            <w:pPr>
              <w:pStyle w:val="1"/>
              <w:widowControl/>
              <w:spacing w:after="0" w:line="240" w:lineRule="auto"/>
              <w:jc w:val="center"/>
            </w:pPr>
            <w:r>
              <w:rPr>
                <w:rFonts w:ascii="Times New Roman" w:hAnsi="Times New Roman"/>
                <w:color w:val="000000"/>
                <w:sz w:val="18"/>
              </w:rPr>
              <w:t xml:space="preserve">700</w:t>
            </w:r>
          </w:p>
        </w:tc>
        <w:tc>
          <w:tcPr>
            <w:tcW w:w="2200" w:type="dxa"/>
            <w:vAlign w:val="center"/>
            <w:shd w:fill="FFFFFF"/>
          </w:tcPr>
          <w:p>
            <w:pPr>
              <w:pStyle w:val="1"/>
              <w:widowControl/>
              <w:spacing w:after="0" w:line="240" w:lineRule="auto"/>
              <w:jc w:val="center"/>
            </w:pPr>
            <w:r>
              <w:rPr>
                <w:rFonts w:ascii="Times New Roman" w:hAnsi="Times New Roman"/>
                <w:color w:val="000000"/>
                <w:sz w:val="18"/>
              </w:rPr>
              <w:t xml:space="preserve">200</w:t>
            </w:r>
          </w:p>
        </w:tc>
        <w:tc>
          <w:tcPr>
            <w:tcW w:w="2400" w:type="dxa"/>
            <w:vAlign w:val="center"/>
            <w:shd w:fill="FFFFFF"/>
          </w:tcPr>
          <w:p>
            <w:pPr>
              <w:pStyle w:val="1"/>
              <w:widowControl/>
              <w:spacing w:after="0" w:line="240" w:lineRule="auto"/>
              <w:jc w:val="center"/>
            </w:pPr>
            <w:r>
              <w:rPr>
                <w:rFonts w:ascii="Times New Roman" w:hAnsi="Times New Roman"/>
                <w:color w:val="000000"/>
                <w:sz w:val="18"/>
              </w:rPr>
              <w:t xml:space="preserve">DAG</w:t>
            </w:r>
          </w:p>
        </w:tc>
      </w:tr>
      <w:tr>
        <w:trPr>
          <w:cantSplit/>
        </w:trPr>
        <w:tc>
          <w:tcPr>
            <w:tcW w:w="2226" w:type="dxa"/>
            <w:vAlign w:val="center"/>
            <w:shd w:fill="F2F2F2"/>
          </w:tcPr>
          <w:p>
            <w:pPr>
              <w:pStyle w:val="1"/>
              <w:widowControl/>
              <w:spacing w:after="0" w:line="240" w:lineRule="auto"/>
              <w:jc w:val="left"/>
            </w:pPr>
            <w:r>
              <w:rPr>
                <w:rFonts w:ascii="Times New Roman" w:hAnsi="Times New Roman"/>
                <w:color w:val="000000"/>
                <w:sz w:val="18"/>
              </w:rPr>
              <w:t xml:space="preserve">1</w:t>
            </w:r>
          </w:p>
        </w:tc>
        <w:tc>
          <w:tcPr>
            <w:tcW w:w="2200" w:type="dxa"/>
            <w:vAlign w:val="center"/>
            <w:shd w:fill="F2F2F2"/>
          </w:tcPr>
          <w:p>
            <w:pPr>
              <w:pStyle w:val="1"/>
              <w:widowControl/>
              <w:spacing w:after="0" w:line="240" w:lineRule="auto"/>
              <w:jc w:val="center"/>
            </w:pPr>
            <w:r>
              <w:rPr>
                <w:rFonts w:ascii="Times New Roman" w:hAnsi="Times New Roman"/>
                <w:color w:val="000000"/>
                <w:sz w:val="18"/>
              </w:rPr>
              <w:t xml:space="preserve">200</w:t>
            </w:r>
          </w:p>
        </w:tc>
        <w:tc>
          <w:tcPr>
            <w:tcW w:w="2200" w:type="dxa"/>
            <w:vAlign w:val="center"/>
            <w:shd w:fill="F2F2F2"/>
          </w:tcPr>
          <w:p>
            <w:pPr>
              <w:pStyle w:val="1"/>
              <w:widowControl/>
              <w:spacing w:after="0" w:line="240" w:lineRule="auto"/>
              <w:jc w:val="center"/>
            </w:pPr>
            <w:r>
              <w:rPr>
                <w:rFonts w:ascii="Times New Roman" w:hAnsi="Times New Roman"/>
                <w:color w:val="000000"/>
                <w:sz w:val="18"/>
              </w:rPr>
              <w:t xml:space="preserve">200</w:t>
            </w:r>
          </w:p>
        </w:tc>
        <w:tc>
          <w:tcPr>
            <w:tcW w:w="2400" w:type="dxa"/>
            <w:vAlign w:val="center"/>
            <w:shd w:fill="F2F2F2"/>
          </w:tcPr>
          <w:p>
            <w:pPr>
              <w:pStyle w:val="1"/>
              <w:widowControl/>
              <w:spacing w:after="0" w:line="240" w:lineRule="auto"/>
              <w:jc w:val="center"/>
            </w:pPr>
            <w:r>
              <w:rPr>
                <w:rFonts w:ascii="Times New Roman" w:hAnsi="Times New Roman"/>
                <w:color w:val="000000"/>
                <w:sz w:val="18"/>
              </w:rPr>
              <w:t xml:space="preserve">Lightweight</w:t>
            </w:r>
          </w:p>
        </w:tc>
      </w:tr>
      <w:tr>
        <w:trPr>
          <w:cantSplit/>
        </w:trPr>
        <w:tc>
          <w:tcPr>
            <w:tcW w:w="2226" w:type="dxa"/>
            <w:vAlign w:val="center"/>
            <w:shd w:fill="FFFFFF"/>
          </w:tcPr>
          <w:p>
            <w:pPr>
              <w:pStyle w:val="1"/>
              <w:widowControl/>
              <w:spacing w:after="0" w:line="240" w:lineRule="auto"/>
              <w:jc w:val="left"/>
            </w:pPr>
            <w:r>
              <w:rPr>
                <w:rFonts w:ascii="Times New Roman" w:hAnsi="Times New Roman"/>
                <w:color w:val="000000"/>
                <w:sz w:val="18"/>
              </w:rPr>
              <w:t xml:space="preserve">1</w:t>
            </w:r>
          </w:p>
        </w:tc>
        <w:tc>
          <w:tcPr>
            <w:tcW w:w="2200" w:type="dxa"/>
            <w:vAlign w:val="center"/>
            <w:shd w:fill="FFFFFF"/>
          </w:tcPr>
          <w:p>
            <w:pPr>
              <w:pStyle w:val="1"/>
              <w:widowControl/>
              <w:spacing w:after="0" w:line="240" w:lineRule="auto"/>
              <w:jc w:val="center"/>
            </w:pPr>
            <w:r>
              <w:rPr>
                <w:rFonts w:ascii="Times New Roman" w:hAnsi="Times New Roman"/>
                <w:color w:val="000000"/>
                <w:sz w:val="18"/>
              </w:rPr>
              <w:t xml:space="preserve">700</w:t>
            </w:r>
          </w:p>
        </w:tc>
        <w:tc>
          <w:tcPr>
            <w:tcW w:w="2200" w:type="dxa"/>
            <w:vAlign w:val="center"/>
            <w:shd w:fill="FFFFFF"/>
          </w:tcPr>
          <w:p>
            <w:pPr>
              <w:pStyle w:val="1"/>
              <w:widowControl/>
              <w:spacing w:after="0" w:line="240" w:lineRule="auto"/>
              <w:jc w:val="center"/>
            </w:pPr>
            <w:r>
              <w:rPr>
                <w:rFonts w:ascii="Times New Roman" w:hAnsi="Times New Roman"/>
                <w:color w:val="000000"/>
                <w:sz w:val="18"/>
              </w:rPr>
              <w:t xml:space="preserve">700</w:t>
            </w:r>
          </w:p>
        </w:tc>
        <w:tc>
          <w:tcPr>
            <w:tcW w:w="2400" w:type="dxa"/>
            <w:vAlign w:val="center"/>
            <w:shd w:fill="FFFFFF"/>
          </w:tcPr>
          <w:p>
            <w:pPr>
              <w:pStyle w:val="1"/>
              <w:widowControl/>
              <w:spacing w:after="0" w:line="240" w:lineRule="auto"/>
              <w:jc w:val="center"/>
            </w:pPr>
            <w:r>
              <w:rPr>
                <w:rFonts w:ascii="Times New Roman" w:hAnsi="Times New Roman"/>
                <w:color w:val="000000"/>
                <w:sz w:val="18"/>
              </w:rPr>
              <w:t xml:space="preserve">Lightweight</w:t>
            </w:r>
          </w:p>
        </w:tc>
      </w:tr>
      <w:tr>
        <w:trPr>
          <w:cantSplit/>
        </w:trPr>
        <w:tc>
          <w:tcPr>
            <w:tcW w:w="2226" w:type="dxa"/>
            <w:vAlign w:val="center"/>
            <w:shd w:fill="F2F2F2"/>
          </w:tcPr>
          <w:p>
            <w:pPr>
              <w:pStyle w:val="1"/>
              <w:widowControl/>
              <w:spacing w:after="0" w:line="240" w:lineRule="auto"/>
              <w:jc w:val="left"/>
            </w:pPr>
            <w:r>
              <w:rPr>
                <w:rFonts w:ascii="Times New Roman" w:hAnsi="Times New Roman"/>
                <w:color w:val="000000"/>
                <w:sz w:val="18"/>
              </w:rPr>
              <w:t xml:space="preserve">1</w:t>
            </w:r>
          </w:p>
        </w:tc>
        <w:tc>
          <w:tcPr>
            <w:tcW w:w="2200" w:type="dxa"/>
            <w:vAlign w:val="center"/>
            <w:shd w:fill="F2F2F2"/>
          </w:tcPr>
          <w:p>
            <w:pPr>
              <w:pStyle w:val="1"/>
              <w:widowControl/>
              <w:spacing w:after="0" w:line="240" w:lineRule="auto"/>
              <w:jc w:val="center"/>
            </w:pPr>
            <w:r>
              <w:rPr>
                <w:rFonts w:ascii="Times New Roman" w:hAnsi="Times New Roman"/>
                <w:color w:val="000000"/>
                <w:sz w:val="18"/>
              </w:rPr>
              <w:t xml:space="preserve">200</w:t>
            </w:r>
          </w:p>
        </w:tc>
        <w:tc>
          <w:tcPr>
            <w:tcW w:w="2200" w:type="dxa"/>
            <w:vAlign w:val="center"/>
            <w:shd w:fill="F2F2F2"/>
          </w:tcPr>
          <w:p>
            <w:pPr>
              <w:pStyle w:val="1"/>
              <w:widowControl/>
              <w:spacing w:after="0" w:line="240" w:lineRule="auto"/>
              <w:jc w:val="center"/>
            </w:pPr>
            <w:r>
              <w:rPr>
                <w:rFonts w:ascii="Times New Roman" w:hAnsi="Times New Roman"/>
                <w:color w:val="000000"/>
                <w:sz w:val="18"/>
              </w:rPr>
              <w:t xml:space="preserve">700</w:t>
            </w:r>
          </w:p>
        </w:tc>
        <w:tc>
          <w:tcPr>
            <w:tcW w:w="2400" w:type="dxa"/>
            <w:vAlign w:val="center"/>
            <w:shd w:fill="F2F2F2"/>
          </w:tcPr>
          <w:p>
            <w:pPr>
              <w:pStyle w:val="1"/>
              <w:widowControl/>
              <w:spacing w:after="0" w:line="240" w:lineRule="auto"/>
              <w:jc w:val="center"/>
            </w:pPr>
            <w:r>
              <w:rPr>
                <w:rFonts w:ascii="Times New Roman" w:hAnsi="Times New Roman"/>
                <w:color w:val="000000"/>
                <w:sz w:val="18"/>
              </w:rPr>
              <w:t xml:space="preserve">DAG</w:t>
            </w:r>
          </w:p>
        </w:tc>
      </w:tr>
    </w:tbl>
    <w:p>
      <w:pPr>
        <w:pStyle w:val="1"/>
        <w:widowControl/>
        <w:spacing w:after="60" w:line="60" w:lineRule="exact"/>
      </w:pPr>
      <w:r>
        <w:rPr>
          <w:rFonts w:ascii="Times New Roman" w:hAnsi="Times New Roman"/>
          <w:sz w:val="22"/>
        </w:rPr>
        <w:t xml:space="preserve"/>
      </w:r>
    </w:p>
    <w:p>
      <w:pPr>
        <w:pStyle w:val="1"/>
        <w:widowControl/>
        <w:spacing w:after="120" w:line="276" w:lineRule="auto"/>
        <w:jc w:val="both"/>
      </w:pPr>
      <w:r>
        <w:rPr>
          <w:rFonts w:ascii="Times New Roman" w:hAnsi="Times New Roman"/>
          <w:b w:val="0"/>
          <w:sz w:val="22"/>
        </w:rPr>
        <w:t xml:space="preserve">The equal intensity scenarios selected lightweight at both 200/200 and 700/700. All three candidates passed the predicted runtime condition in the reported fitted mode scenarios. The proxy only control produced the same strategy choices. Thus the scenario transitions demonstrated the effect of the objective and proxy cost structure; they did not demonstrate that the fitted runtime model caused or improved those transitions. The handwritten example was included in the runtime training data and was not held out policy evaluation.</w:t>
      </w:r>
    </w:p>
    <w:p>
      <w:pPr>
        <w:pStyle w:val="1"/>
        <w:widowControl/>
        <w:spacing w:after="120" w:line="276" w:lineRule="auto"/>
        <w:jc w:val="both"/>
      </w:pPr>
      <w:r>
        <w:rPr>
          <w:rFonts w:ascii="Times New Roman" w:hAnsi="Times New Roman"/>
          <w:b w:val="0"/>
          <w:sz w:val="22"/>
        </w:rPr>
        <w:t xml:space="preserve">The scenario script checked that the chosen candidate was allowed and verified the expected transitions in proxy only mode. Its saved transcripts provided candidate level energy proxy, runtime, eligibility, and carbon score fields. These checks established deterministic mechanism behavior under the supplied assumptions. They did not compare measured adaptive emissions against always baseline, always lightweight, or always DAG policies.</w:t>
      </w:r>
    </w:p>
    <w:p>
      <w:pPr>
        <w:pStyle w:val="2"/>
        <w:keepNext/>
        <w:keepLines/>
        <w:widowControl/>
        <w:spacing w:before="320" w:after="120"/>
      </w:pPr>
      <w:r>
        <w:rPr>
          <w:rFonts w:ascii="Times New Roman" w:hAnsi="Times New Roman"/>
          <w:b/>
          <w:color w:val="1F3864"/>
          <w:sz w:val="26"/>
        </w:rPr>
        <w:t xml:space="preserve">5 Discussion</w:t>
      </w:r>
    </w:p>
    <w:p>
      <w:pPr>
        <w:pStyle w:val="3"/>
        <w:keepNext/>
        <w:keepLines/>
        <w:widowControl/>
        <w:spacing w:before="220" w:after="120"/>
      </w:pPr>
      <w:r>
        <w:rPr>
          <w:rFonts w:ascii="Times New Roman" w:hAnsi="Times New Roman"/>
          <w:b/>
          <w:color w:val="1F3864"/>
          <w:sz w:val="23"/>
        </w:rPr>
        <w:t xml:space="preserve">5.1 What the prototype establishes</w:t>
      </w:r>
    </w:p>
    <w:p>
      <w:pPr>
        <w:pStyle w:val="1"/>
        <w:widowControl/>
        <w:spacing w:after="120" w:line="276" w:lineRule="auto"/>
        <w:jc w:val="both"/>
      </w:pPr>
      <w:r>
        <w:rPr>
          <w:rFonts w:ascii="Times New Roman" w:hAnsi="Times New Roman"/>
          <w:b w:val="0"/>
          <w:sz w:val="22"/>
        </w:rPr>
        <w:t xml:space="preserve">The principal positive result was the consistency between the explicit objective and the observed strategy changes. A one time optimization cost becomes less influential as repeated execution grows, while the relative compilation and execution intensities alter how the two phases are weighted. The equal intensity control also behaved as the algebra predicts. These are useful checks on an implementation because a selector that always chose the most aggressive optimization, irrespective of N or the intensity ratio, would not demonstrate the intended trade off.</w:t>
      </w:r>
    </w:p>
    <w:p>
      <w:pPr>
        <w:pStyle w:val="1"/>
        <w:widowControl/>
        <w:spacing w:after="120" w:line="276" w:lineRule="auto"/>
        <w:jc w:val="both"/>
      </w:pPr>
      <w:r>
        <w:rPr>
          <w:rFonts w:ascii="Times New Roman" w:hAnsi="Times New Roman"/>
          <w:b w:val="0"/>
          <w:sz w:val="22"/>
        </w:rPr>
        <w:t xml:space="preserve">The static example and walkthrough made the mechanism explainable at the program level. A user could inspect where a repeated addition was eliminated, why an instruction folded to a constant, and how these changes affected the counts used by a proxy. This transparency is useful for teaching and debugging. However, an explanation of why the current score changed is not evidence that the score accurately predicts the environment. Keeping the transformation explanation distinct from prediction validity is therefore part of the contribution.</w:t>
      </w:r>
    </w:p>
    <w:p>
      <w:pPr>
        <w:pStyle w:val="1"/>
        <w:widowControl/>
        <w:spacing w:after="120" w:line="276" w:lineRule="auto"/>
        <w:jc w:val="both"/>
      </w:pPr>
      <w:r>
        <w:rPr>
          <w:rFonts w:ascii="Times New Roman" w:hAnsi="Times New Roman"/>
          <w:b w:val="0"/>
          <w:sz w:val="22"/>
        </w:rPr>
        <w:t xml:space="preserve">The scenario outcomes are compatible with broader carbon aware work in that environmental context changes the preferred computational action [2,16,17]. They are not directly comparable to the operational savings reported by those systems because the workloads, controls, measurement boundaries, and decisions differ. Similarly, the intermediate representation reductions cannot be compared numerically with performance results from Halide, TVM, Ansor, or learned LLVM policies [7–10]. A common percentage label would hide different denominators and different experimental questions.</w:t>
      </w:r>
    </w:p>
    <w:p>
      <w:pPr>
        <w:pStyle w:val="3"/>
        <w:keepNext/>
        <w:keepLines/>
        <w:widowControl/>
        <w:spacing w:before="220" w:after="120"/>
      </w:pPr>
      <w:r>
        <w:rPr>
          <w:rFonts w:ascii="Times New Roman" w:hAnsi="Times New Roman"/>
          <w:b/>
          <w:color w:val="1F3864"/>
          <w:sz w:val="23"/>
        </w:rPr>
        <w:t xml:space="preserve">5.2 Why the current predictor is insufficient</w:t>
      </w:r>
    </w:p>
    <w:p>
      <w:pPr>
        <w:pStyle w:val="1"/>
        <w:widowControl/>
        <w:spacing w:after="120" w:line="276" w:lineRule="auto"/>
        <w:jc w:val="both"/>
      </w:pPr>
      <w:r>
        <w:rPr>
          <w:rFonts w:ascii="Times New Roman" w:hAnsi="Times New Roman"/>
          <w:b w:val="0"/>
          <w:sz w:val="22"/>
        </w:rPr>
        <w:t xml:space="preserve">The runtime results show that a working learning pipeline is not the same as a useful model. The ten features were easy to extract but did not describe dynamic execution. A loop with a large trip count and one with a small trip count could have similar static counts, while program families could share repeated syntactic structures. Some features were also strongly related, including operation and temporary counts and branch and comparison counts. Ridge regularization moderated coefficient magnitude but could not recover information absent from the representation.</w:t>
      </w:r>
    </w:p>
    <w:p>
      <w:pPr>
        <w:pStyle w:val="1"/>
        <w:widowControl/>
        <w:spacing w:after="120" w:line="276" w:lineRule="auto"/>
        <w:jc w:val="both"/>
      </w:pPr>
      <w:r>
        <w:rPr>
          <w:rFonts w:ascii="Times New Roman" w:hAnsi="Times New Roman"/>
          <w:b w:val="0"/>
          <w:sz w:val="22"/>
        </w:rPr>
        <w:t xml:space="preserve">The dataset combined a small number of programs with very small per invocation runtimes and a narrow test target distribution. Under these conditions, modest absolute residuals could produce extremely negative R squared values. The training mean reference remained a relevant baseline because it tested whether the feature based learner added value over a simple constant. Its better error performance prevented an unsupported claim that model fitting alone improved selection quality. More flexible models would still require better data and independent validation rather than being assumed to solve this problem.</w:t>
      </w:r>
    </w:p>
    <w:p>
      <w:pPr>
        <w:pStyle w:val="1"/>
        <w:widowControl/>
        <w:spacing w:after="120" w:line="276" w:lineRule="auto"/>
        <w:jc w:val="both"/>
      </w:pPr>
      <w:r>
        <w:rPr>
          <w:rFonts w:ascii="Times New Roman" w:hAnsi="Times New Roman"/>
          <w:b w:val="0"/>
          <w:sz w:val="22"/>
        </w:rPr>
        <w:t xml:space="preserve">A further limitation is the relationship between prediction error and the runtime constraint. The selector accepted candidates using point estimates relative to a predicted baseline. Error in either the candidate or baseline estimate can change eligibility, especially when the tolerance is small. The observed scenario inputs happened to admit all candidates, so those demonstrations did not test the consequences of uncertain boundary decisions. The zero baseline special case also bypassed the relative test. A future deployment would need measured compliance, an explicit fallback, and an uncertainty policy before interpreting the configured 10% limit as a practical performance protection.</w:t>
      </w:r>
    </w:p>
    <w:p>
      <w:pPr>
        <w:pStyle w:val="3"/>
        <w:keepNext/>
        <w:keepLines/>
        <w:widowControl/>
        <w:spacing w:before="220" w:after="120"/>
      </w:pPr>
      <w:r>
        <w:rPr>
          <w:rFonts w:ascii="Times New Roman" w:hAnsi="Times New Roman"/>
          <w:b/>
          <w:color w:val="1F3864"/>
          <w:sz w:val="23"/>
        </w:rPr>
        <w:t xml:space="preserve">5.3 Threats to validity and accounting boundaries</w:t>
      </w:r>
    </w:p>
    <w:p>
      <w:pPr>
        <w:pStyle w:val="1"/>
        <w:widowControl/>
        <w:spacing w:after="120" w:line="276" w:lineRule="auto"/>
        <w:jc w:val="both"/>
      </w:pPr>
      <w:r>
        <w:rPr>
          <w:rFonts w:ascii="Times New Roman" w:hAnsi="Times New Roman"/>
          <w:b w:val="0"/>
          <w:sz w:val="22"/>
        </w:rPr>
        <w:t xml:space="preserve">Internal validity was limited by measurement granularity and correctness coverage. Five batches within one process reduced some timer noise but did not sample build and launch variation. The current generated programs returned zero, and the timing study did not compare observable final variable values across strategies. Passing unit tests therefore established tested transformations and selector behavior rather than exhaustive semantic equivalence. Integer overflow, name collisions, division edge cases, control flow, and broader input distributions require stronger correctness tests before expanding optimization scope.</w:t>
      </w:r>
    </w:p>
    <w:p>
      <w:pPr>
        <w:pStyle w:val="1"/>
        <w:widowControl/>
        <w:spacing w:after="120" w:line="276" w:lineRule="auto"/>
        <w:jc w:val="both"/>
      </w:pPr>
      <w:r>
        <w:rPr>
          <w:rFonts w:ascii="Times New Roman" w:hAnsi="Times New Roman"/>
          <w:b w:val="0"/>
          <w:sz w:val="22"/>
        </w:rPr>
        <w:t xml:space="preserve">External validity was limited by a single Windows host, GCC -O0, small synthetic sources, and one fixed split. A grouped split by program name did not eliminate shared generator templates or identical content under different identities. The study also did not evaluate a wide range of machine architectures, native optimization levels, or realistic application workloads. Results cannot be generalized to production C or C++ compilation, heterogeneous accelerators, or data center workloads without new experiments.</w:t>
      </w:r>
    </w:p>
    <w:p>
      <w:pPr>
        <w:pStyle w:val="1"/>
        <w:widowControl/>
        <w:spacing w:after="120" w:line="276" w:lineRule="auto"/>
        <w:jc w:val="both"/>
      </w:pPr>
      <w:r>
        <w:rPr>
          <w:rFonts w:ascii="Times New Roman" w:hAnsi="Times New Roman"/>
          <w:b w:val="0"/>
          <w:sz w:val="22"/>
        </w:rPr>
        <w:t xml:space="preserve">Construct validity was particularly important for carbon claims. The energy proxies encoded assumptions about relative cost without physical calibration. Their numerical appearance in joules did not make them measurements. The 200 and 700 intensity values were hypothetical inputs rather than collected regional or hourly grid data. A real carbon intensity feed alone would not repair uncalibrated energy estimates. Conversely, measured package energy would still require a documented boundary and an appropriate intensity signal before supporting an operational emissions estimate. Embodied hardware, infrastructure overhead, and a functional unit comparable to a complete software carbon intensity score were outside the modeled boundary [21,23].</w:t>
      </w:r>
    </w:p>
    <w:p>
      <w:pPr>
        <w:pStyle w:val="1"/>
        <w:widowControl/>
        <w:spacing w:after="120" w:line="276" w:lineRule="auto"/>
        <w:jc w:val="both"/>
      </w:pPr>
      <w:r>
        <w:rPr>
          <w:rFonts w:ascii="Times New Roman" w:hAnsi="Times New Roman"/>
          <w:b w:val="0"/>
          <w:sz w:val="22"/>
        </w:rPr>
        <w:t xml:space="preserve">The current compilation objective also omitted overhead that an empirical policy evaluation must include. Constructing all candidates, extracting features, performing inference, generating selected output again, and compiling generated C all consume resources. The one time cost relevant to deployment should include those activities within a consistent boundary. Otherwise an adaptive policy can appear preferable simply because its own decision cost is not charged. Physical instrumentation should measure both the selector and fixed policy alternatives under aligned compilation and execution boundaries.</w:t>
      </w:r>
    </w:p>
    <w:p>
      <w:pPr>
        <w:pStyle w:val="3"/>
        <w:keepNext/>
        <w:keepLines/>
        <w:widowControl/>
        <w:spacing w:before="220" w:after="120"/>
      </w:pPr>
      <w:r>
        <w:rPr>
          <w:rFonts w:ascii="Times New Roman" w:hAnsi="Times New Roman"/>
          <w:b/>
          <w:color w:val="1F3864"/>
          <w:sz w:val="23"/>
        </w:rPr>
        <w:t xml:space="preserve">5.4 Priorities for further evaluation</w:t>
      </w:r>
    </w:p>
    <w:p>
      <w:pPr>
        <w:pStyle w:val="1"/>
        <w:widowControl/>
        <w:spacing w:after="120" w:line="276" w:lineRule="auto"/>
        <w:jc w:val="both"/>
      </w:pPr>
      <w:r>
        <w:rPr>
          <w:rFonts w:ascii="Times New Roman" w:hAnsi="Times New Roman"/>
          <w:b w:val="0"/>
          <w:sz w:val="22"/>
        </w:rPr>
        <w:t xml:space="preserve">The next measurement stage should collect physical compilation and execution energy on a supported platform, retaining domain names, counter resolution, wraparound handling, and the duration of each measurement. Package counters exposed through powercap can support such work on suitable Linux systems [24], but the chosen domain does not automatically cover memory, storage, cooling, or the whole machine. Longer workloads, repeated process level trials, and an external power measurement where feasible would help characterize what the counters capture and what remains outside the boundary.</w:t>
      </w:r>
    </w:p>
    <w:p>
      <w:pPr>
        <w:pStyle w:val="1"/>
        <w:widowControl/>
        <w:spacing w:after="120" w:line="276" w:lineRule="auto"/>
        <w:jc w:val="both"/>
      </w:pPr>
      <w:r>
        <w:rPr>
          <w:rFonts w:ascii="Times New Roman" w:hAnsi="Times New Roman"/>
          <w:b w:val="0"/>
          <w:sz w:val="22"/>
        </w:rPr>
        <w:t xml:space="preserve">Prediction work should prioritize information and evaluation design before model complexity. Candidate additions include loop bounds, estimated or measured execution frequencies, operation classes, and input dependent behavior. Program families and identical source hashes should be grouped during validation. Larger holdouts, repeated grouped splits, and testing on independent machines would provide a stronger view of variation and generalization. The existing training mean result should remain a baseline, and any new model should be assessed both for prediction error and for the decisions it induces.</w:t>
      </w:r>
    </w:p>
    <w:p>
      <w:pPr>
        <w:pStyle w:val="1"/>
        <w:widowControl/>
        <w:spacing w:after="120" w:line="276" w:lineRule="auto"/>
        <w:jc w:val="both"/>
      </w:pPr>
      <w:r>
        <w:rPr>
          <w:rFonts w:ascii="Times New Roman" w:hAnsi="Times New Roman"/>
          <w:b w:val="0"/>
          <w:sz w:val="22"/>
        </w:rPr>
        <w:t xml:space="preserve">Finally, a policy study should compare adaptive selection with always baseline, always lightweight, and always DAG on held out workloads with measured energy and observed runtime. It should report total compilation plus repeated execution cost, the number of runtime limit violations, and uncertainty at appropriate experimental levels. Real carbon intensity observations or forecasts should be recorded with location, time resolution, and provenance. This sequence would test whether the prototype objective yields useful decisions under measured conditions, rather than only whether predetermined scenarios produce intuitively plausible changes.</w:t>
      </w:r>
    </w:p>
    <w:p>
      <w:pPr>
        <w:pStyle w:val="2"/>
        <w:keepNext/>
        <w:keepLines/>
        <w:widowControl/>
        <w:spacing w:before="320" w:after="120"/>
      </w:pPr>
      <w:r>
        <w:rPr>
          <w:rFonts w:ascii="Times New Roman" w:hAnsi="Times New Roman"/>
          <w:b/>
          <w:color w:val="1F3864"/>
          <w:sz w:val="26"/>
        </w:rPr>
        <w:t xml:space="preserve">6 Conclusion</w:t>
      </w:r>
    </w:p>
    <w:p>
      <w:pPr>
        <w:pStyle w:val="1"/>
        <w:widowControl/>
        <w:spacing w:after="120" w:line="276" w:lineRule="auto"/>
        <w:jc w:val="both"/>
      </w:pPr>
      <w:r>
        <w:rPr>
          <w:rFonts w:ascii="Times New Roman" w:hAnsi="Times New Roman"/>
          <w:b w:val="0"/>
          <w:sz w:val="22"/>
        </w:rPr>
        <w:t xml:space="preserve">This study implemented Green TAC as a small compiler for investigating optimization selection under separate compilation and execution carbon intensities. The prototype generated three candidate strategies, exposed intermediate transformations, and combined cost estimates with expected execution count and a predicted runtime condition. A 31 program timing study produced 93 program strategy observations and 465 batches. The illustrative common subexpression program decreased from 21 to 19 intermediate instructions, while scenario tests changed the selected strategy as execution count and the carbon intensity ratio changed. However, all three learned runtime models performed worse than a training mean reference on seven held out programs. Energy estimates remained handwritten proxies and carbon intensities remained hypothetical scenario inputs. The contribution is an inspectable implementation and a reproducible account of both working selection behavior and insufficient predictive accuracy. The evidence does not establish measured energy savings, operational carbon reduction, or a runtime guarantee. Further work should strengthen semantic correctness, collect physical energy, improve dynamic program features, account for selection overhead, and compare adaptive and fixed policies on independent workloads under documented carbon signals.</w:t>
      </w:r>
    </w:p>
    <w:p>
      <w:pPr>
        <w:pStyle w:val="2"/>
        <w:keepNext/>
        <w:keepLines/>
        <w:widowControl/>
        <w:spacing w:before="320" w:after="120"/>
      </w:pPr>
      <w:r>
        <w:rPr>
          <w:rFonts w:ascii="Times New Roman" w:hAnsi="Times New Roman"/>
          <w:b/>
          <w:color w:val="1F3864"/>
          <w:sz w:val="26"/>
        </w:rPr>
        <w:t xml:space="preserve">Declarations</w:t>
      </w:r>
    </w:p>
    <w:p>
      <w:pPr>
        <w:pStyle w:val="1"/>
        <w:widowControl/>
        <w:spacing w:after="120" w:line="276" w:lineRule="auto"/>
        <w:jc w:val="both"/>
      </w:pPr>
      <w:r>
        <w:rPr>
          <w:rFonts w:ascii="Times New Roman" w:hAnsi="Times New Roman"/>
          <w:b w:val="0"/>
          <w:sz w:val="22"/>
        </w:rPr>
        <w:t xml:space="preserve">Acknowledgements: __________________________________________________________</w:t>
      </w:r>
    </w:p>
    <w:p>
      <w:pPr>
        <w:pStyle w:val="1"/>
        <w:widowControl/>
        <w:spacing w:after="120" w:line="276" w:lineRule="auto"/>
        <w:jc w:val="both"/>
      </w:pPr>
      <w:r>
        <w:rPr>
          <w:rFonts w:ascii="Times New Roman" w:hAnsi="Times New Roman"/>
          <w:b w:val="0"/>
          <w:sz w:val="22"/>
        </w:rPr>
        <w:t xml:space="preserve">Funding source and grant details: _________________________________________________</w:t>
      </w:r>
    </w:p>
    <w:p>
      <w:pPr>
        <w:pStyle w:val="1"/>
        <w:widowControl/>
        <w:spacing w:after="120" w:line="276" w:lineRule="auto"/>
        <w:jc w:val="both"/>
      </w:pPr>
      <w:r>
        <w:rPr>
          <w:rFonts w:ascii="Times New Roman" w:hAnsi="Times New Roman"/>
          <w:b w:val="0"/>
          <w:sz w:val="22"/>
        </w:rPr>
        <w:t xml:space="preserve">Conflict of interest statement: ___________________________________________________</w:t>
      </w:r>
    </w:p>
    <w:p>
      <w:pPr>
        <w:pStyle w:val="1"/>
        <w:widowControl/>
        <w:spacing w:after="120" w:line="276" w:lineRule="auto"/>
        <w:jc w:val="both"/>
      </w:pPr>
      <w:r>
        <w:rPr>
          <w:rFonts w:ascii="Times New Roman" w:hAnsi="Times New Roman"/>
          <w:b w:val="0"/>
          <w:sz w:val="22"/>
        </w:rPr>
        <w:t xml:space="preserve">Data availability. The study artifacts are retained in the project under data/runtime_study, data/model_metrics.csv, data/model_predictions.csv, data/model_validation.json, and data/results/adaptive. A public repository or archival DOI is to be supplied by the authors: _______________________________________________.</w:t>
      </w:r>
    </w:p>
    <w:p>
      <w:pPr>
        <w:pStyle w:val="1"/>
        <w:widowControl/>
        <w:spacing w:after="120" w:line="276" w:lineRule="auto"/>
        <w:jc w:val="both"/>
      </w:pPr>
      <w:r>
        <w:rPr>
          <w:rFonts w:ascii="Times New Roman" w:hAnsi="Times New Roman"/>
          <w:b w:val="0"/>
          <w:sz w:val="22"/>
        </w:rPr>
        <w:t xml:space="preserve">Author contributions using CRediT roles: ___________________________________________</w:t>
      </w:r>
    </w:p>
    <w:p>
      <w:pPr>
        <w:pStyle w:val="1"/>
        <w:widowControl/>
        <w:spacing w:after="120" w:line="276" w:lineRule="auto"/>
        <w:jc w:val="both"/>
      </w:pPr>
      <w:r>
        <w:rPr>
          <w:rFonts w:ascii="Times New Roman" w:hAnsi="Times New Roman"/>
          <w:b w:val="0"/>
          <w:sz w:val="22"/>
        </w:rPr>
        <w:t xml:space="preserve">Ethics. The reported experiments used generated computer programs and collected no human or animal participant data.</w:t>
      </w:r>
    </w:p>
    <w:p>
      <w:pPr>
        <w:pStyle w:val="1"/>
        <w:widowControl/>
        <w:spacing w:after="120" w:line="276" w:lineRule="auto"/>
        <w:jc w:val="both"/>
      </w:pPr>
      <w:r>
        <w:rPr>
          <w:rFonts w:ascii="Times New Roman" w:hAnsi="Times New Roman"/>
          <w:b w:val="0"/>
          <w:sz w:val="22"/>
        </w:rPr>
        <w:t xml:space="preserve">Use of generative artificial intelligence. A language model assisted manuscript drafting and formatting. Responsibility for the scientific content and final submission rests with the authors.</w:t>
      </w:r>
    </w:p>
    <w:p>
      <w:pPr>
        <w:pStyle w:val="2"/>
        <w:keepNext/>
        <w:keepLines/>
        <w:widowControl/>
        <w:spacing w:before="320" w:after="120"/>
      </w:pPr>
      <w:r>
        <w:rPr>
          <w:rFonts w:ascii="Times New Roman" w:hAnsi="Times New Roman"/>
          <w:b/>
          <w:color w:val="1F3864"/>
          <w:sz w:val="26"/>
        </w:rPr>
        <w:t xml:space="preserve">References</w:t>
      </w:r>
    </w:p>
    <w:p>
      <w:pPr>
        <w:pStyle w:val="1"/>
        <w:widowControl/>
        <w:spacing w:after="100" w:line="252" w:lineRule="auto"/>
        <w:ind w:left="420" w:hanging="420"/>
      </w:pPr>
      <w:r>
        <w:rPr>
          <w:rFonts w:ascii="Times New Roman" w:hAnsi="Times New Roman"/>
          <w:sz w:val="20"/>
        </w:rPr>
        <w:t xml:space="preserve">[1] GNU Project. Options that control optimization. Using the GNU Compiler Collection. https://gcc.gnu.org/onlinedocs/gcc/Optimize-Options.html (accessed 22 October 2026).</w:t>
      </w:r>
    </w:p>
    <w:p>
      <w:pPr>
        <w:pStyle w:val="1"/>
        <w:widowControl/>
        <w:spacing w:after="100" w:line="252" w:lineRule="auto"/>
        <w:ind w:left="420" w:hanging="420"/>
      </w:pPr>
      <w:r>
        <w:rPr>
          <w:rFonts w:ascii="Times New Roman" w:hAnsi="Times New Roman"/>
          <w:sz w:val="20"/>
        </w:rPr>
        <w:t xml:space="preserve">[2] Radovanovic, A., et al. (2023). Carbon-aware computing for datacenters. IEEE Transactions on Power Systems, 38(2), 1270–1280. https://doi.org/10.1109/TPWRS.2022.3173250</w:t>
      </w:r>
    </w:p>
    <w:p>
      <w:pPr>
        <w:pStyle w:val="1"/>
        <w:widowControl/>
        <w:spacing w:after="100" w:line="252" w:lineRule="auto"/>
        <w:ind w:left="420" w:hanging="420"/>
      </w:pPr>
      <w:r>
        <w:rPr>
          <w:rFonts w:ascii="Times New Roman" w:hAnsi="Times New Roman"/>
          <w:sz w:val="20"/>
        </w:rPr>
        <w:t xml:space="preserve">[3] Lannelongue, L., Grealey, J., and Inouye, M. (2021). Green Algorithms: Quantifying the carbon footprint of computation. Advanced Science, 8, 2100707. https://doi.org/10.1002/advs.202100707</w:t>
      </w:r>
    </w:p>
    <w:p>
      <w:pPr>
        <w:pStyle w:val="1"/>
        <w:widowControl/>
        <w:spacing w:after="100" w:line="252" w:lineRule="auto"/>
        <w:ind w:left="420" w:hanging="420"/>
      </w:pPr>
      <w:r>
        <w:rPr>
          <w:rFonts w:ascii="Times New Roman" w:hAnsi="Times New Roman"/>
          <w:sz w:val="20"/>
        </w:rPr>
        <w:t xml:space="preserve">[4] Henderson, P., Hu, J., Romoff, J., Brunskill, E., Jurafsky, D., and Pineau, J. (2020). Towards the systematic reporting of the energy and carbon footprints of machine learning. Journal of Machine Learning Research, 21(248), 1–43. https://jmlr.org/papers/v21/20-312.html</w:t>
      </w:r>
    </w:p>
    <w:p>
      <w:pPr>
        <w:pStyle w:val="1"/>
        <w:widowControl/>
        <w:spacing w:after="100" w:line="252" w:lineRule="auto"/>
        <w:ind w:left="420" w:hanging="420"/>
      </w:pPr>
      <w:r>
        <w:rPr>
          <w:rFonts w:ascii="Times New Roman" w:hAnsi="Times New Roman"/>
          <w:sz w:val="20"/>
        </w:rPr>
        <w:t xml:space="preserve">[5] Fursin, G., et al. (2011). Milepost GCC: Machine learning enabled self-tuning compiler. International Journal of Parallel Programming, 39(3), 296–327. https://doi.org/10.1007/s10766-010-0161-2</w:t>
      </w:r>
    </w:p>
    <w:p>
      <w:pPr>
        <w:pStyle w:val="1"/>
        <w:widowControl/>
        <w:spacing w:after="100" w:line="252" w:lineRule="auto"/>
        <w:ind w:left="420" w:hanging="420"/>
      </w:pPr>
      <w:r>
        <w:rPr>
          <w:rFonts w:ascii="Times New Roman" w:hAnsi="Times New Roman"/>
          <w:sz w:val="20"/>
        </w:rPr>
        <w:t xml:space="preserve">[6] Ansel, J., Kamil, S., Veeramachaneni, K., Ragan-Kelley, J., Bosboom, J., O’Reilly, U.-M., and Amarasinghe, S. (2014). OpenTuner: An extensible framework for program autotuning. Proceedings of PACT. https://opentuner.org/publications/</w:t>
      </w:r>
    </w:p>
    <w:p>
      <w:pPr>
        <w:pStyle w:val="1"/>
        <w:widowControl/>
        <w:spacing w:after="100" w:line="252" w:lineRule="auto"/>
        <w:ind w:left="420" w:hanging="420"/>
      </w:pPr>
      <w:r>
        <w:rPr>
          <w:rFonts w:ascii="Times New Roman" w:hAnsi="Times New Roman"/>
          <w:sz w:val="20"/>
        </w:rPr>
        <w:t xml:space="preserve">[7] Adams, A., et al. (2019). Learning to optimize Halide with tree search and random programs. ACM Transactions on Graphics, 38(4), Article 121. https://doi.org/10.1145/3306346.3322967</w:t>
      </w:r>
    </w:p>
    <w:p>
      <w:pPr>
        <w:pStyle w:val="1"/>
        <w:widowControl/>
        <w:spacing w:after="100" w:line="252" w:lineRule="auto"/>
        <w:ind w:left="420" w:hanging="420"/>
      </w:pPr>
      <w:r>
        <w:rPr>
          <w:rFonts w:ascii="Times New Roman" w:hAnsi="Times New Roman"/>
          <w:sz w:val="20"/>
        </w:rPr>
        <w:t xml:space="preserve">[8] Chen, T., et al. (2018). TVM: An automated end-to-end optimizing compiler for deep learning. Proceedings of OSDI, 578–594. https://www.usenix.org/conference/osdi18/presentation/chen</w:t>
      </w:r>
    </w:p>
    <w:p>
      <w:pPr>
        <w:pStyle w:val="1"/>
        <w:widowControl/>
        <w:spacing w:after="100" w:line="252" w:lineRule="auto"/>
        <w:ind w:left="420" w:hanging="420"/>
      </w:pPr>
      <w:r>
        <w:rPr>
          <w:rFonts w:ascii="Times New Roman" w:hAnsi="Times New Roman"/>
          <w:sz w:val="20"/>
        </w:rPr>
        <w:t xml:space="preserve">[9] Zheng, L., et al. (2020). Ansor: Generating high-performance tensor programs for deep learning. Proceedings of OSDI, 863–879. https://www.usenix.org/conference/osdi20/presentation/zheng</w:t>
      </w:r>
    </w:p>
    <w:p>
      <w:pPr>
        <w:pStyle w:val="1"/>
        <w:widowControl/>
        <w:spacing w:after="100" w:line="252" w:lineRule="auto"/>
        <w:ind w:left="420" w:hanging="420"/>
      </w:pPr>
      <w:r>
        <w:rPr>
          <w:rFonts w:ascii="Times New Roman" w:hAnsi="Times New Roman"/>
          <w:sz w:val="20"/>
        </w:rPr>
        <w:t xml:space="preserve">[10] Trofin, M., Qian, Y., Brevdo, E., Lin, Z., Choromanski, K., and Li, D. (2021). MLGO: A machine learning guided compiler optimizations framework. arXiv:2101.04808. https://doi.org/10.48550/arXiv.2101.04808</w:t>
      </w:r>
    </w:p>
    <w:p>
      <w:pPr>
        <w:pStyle w:val="1"/>
        <w:widowControl/>
        <w:spacing w:after="100" w:line="252" w:lineRule="auto"/>
        <w:ind w:left="420" w:hanging="420"/>
      </w:pPr>
      <w:r>
        <w:rPr>
          <w:rFonts w:ascii="Times New Roman" w:hAnsi="Times New Roman"/>
          <w:sz w:val="20"/>
        </w:rPr>
        <w:t xml:space="preserve">[11] Cummins, C., et al. (2022). CompilerGym: Robust, performant compiler optimization environments for AI research. Proceedings of CGO, 92–105. https://doi.org/10.1109/CGO53902.2022.9741258</w:t>
      </w:r>
    </w:p>
    <w:p>
      <w:pPr>
        <w:pStyle w:val="1"/>
        <w:widowControl/>
        <w:spacing w:after="100" w:line="252" w:lineRule="auto"/>
        <w:ind w:left="420" w:hanging="420"/>
      </w:pPr>
      <w:r>
        <w:rPr>
          <w:rFonts w:ascii="Times New Roman" w:hAnsi="Times New Roman"/>
          <w:sz w:val="20"/>
        </w:rPr>
        <w:t xml:space="preserve">[12] Hellsten, E., et al. (2023). BaCO: A fast and portable Bayesian compiler optimization framework. arXiv:2212.11142, version 2. https://arxiv.org/abs/2212.11142v2</w:t>
      </w:r>
    </w:p>
    <w:p>
      <w:pPr>
        <w:pStyle w:val="1"/>
        <w:widowControl/>
        <w:spacing w:after="100" w:line="252" w:lineRule="auto"/>
        <w:ind w:left="420" w:hanging="420"/>
      </w:pPr>
      <w:r>
        <w:rPr>
          <w:rFonts w:ascii="Times New Roman" w:hAnsi="Times New Roman"/>
          <w:sz w:val="20"/>
        </w:rPr>
        <w:t xml:space="preserve">[13] Deng, C., Wu, J., Feng, N., Wang, J., and Long, M. (2026). CompilerDream: Learning a compiler world model for general code optimization. arXiv:2404.16077, version 4; KDD 2025 manuscript with corrected appendix. https://arxiv.org/abs/2404.16077v4</w:t>
      </w:r>
    </w:p>
    <w:p>
      <w:pPr>
        <w:pStyle w:val="1"/>
        <w:widowControl/>
        <w:spacing w:after="100" w:line="252" w:lineRule="auto"/>
        <w:ind w:left="420" w:hanging="420"/>
      </w:pPr>
      <w:r>
        <w:rPr>
          <w:rFonts w:ascii="Times New Roman" w:hAnsi="Times New Roman"/>
          <w:sz w:val="20"/>
        </w:rPr>
        <w:t xml:space="preserve">[14] Cummins, C., et al. (2023). Large language models for compiler optimization. arXiv:2309.07062. https://doi.org/10.48550/arXiv.2309.07062</w:t>
      </w:r>
    </w:p>
    <w:p>
      <w:pPr>
        <w:pStyle w:val="1"/>
        <w:widowControl/>
        <w:spacing w:after="100" w:line="252" w:lineRule="auto"/>
        <w:ind w:left="420" w:hanging="420"/>
      </w:pPr>
      <w:r>
        <w:rPr>
          <w:rFonts w:ascii="Times New Roman" w:hAnsi="Times New Roman"/>
          <w:sz w:val="20"/>
        </w:rPr>
        <w:t xml:space="preserve">[15] Pallister, J., Hollis, S. J., and Bennett, J. (2013). Identifying compiler options to minimize energy consumption for embedded platforms. The Computer Journal, advance access. https://doi.org/10.1093/comjnl/bxt129</w:t>
      </w:r>
    </w:p>
    <w:p>
      <w:pPr>
        <w:pStyle w:val="1"/>
        <w:widowControl/>
        <w:spacing w:after="100" w:line="252" w:lineRule="auto"/>
        <w:ind w:left="420" w:hanging="420"/>
      </w:pPr>
      <w:r>
        <w:rPr>
          <w:rFonts w:ascii="Times New Roman" w:hAnsi="Times New Roman"/>
          <w:sz w:val="20"/>
        </w:rPr>
        <w:t xml:space="preserve">[16] Hanafy, W. A., Liang, Q., Bashir, N., Irwin, D., and Shenoy, P. (2023). CarbonScaler: Leveraging cloud workload elasticity for optimizing carbon-efficiency. Proceedings of the ACM on Measurement and Analysis of Computing Systems, 7(3), Article 57. https://doi.org/10.1145/3626788</w:t>
      </w:r>
    </w:p>
    <w:p>
      <w:pPr>
        <w:pStyle w:val="1"/>
        <w:widowControl/>
        <w:spacing w:after="100" w:line="252" w:lineRule="auto"/>
        <w:ind w:left="420" w:hanging="420"/>
      </w:pPr>
      <w:r>
        <w:rPr>
          <w:rFonts w:ascii="Times New Roman" w:hAnsi="Times New Roman"/>
          <w:sz w:val="20"/>
        </w:rPr>
        <w:t xml:space="preserve">[17] Hall, S., Micheli, F., Belgioioso, G., Radovanovic, A., and Dörfler, F. (2025). Carbon-aware computing for data centers with probabilistic performance guarantees. arXiv:2410.21510, version 3. https://arxiv.org/abs/2410.21510v3</w:t>
      </w:r>
    </w:p>
    <w:p>
      <w:pPr>
        <w:pStyle w:val="1"/>
        <w:widowControl/>
        <w:spacing w:after="100" w:line="252" w:lineRule="auto"/>
        <w:ind w:left="420" w:hanging="420"/>
      </w:pPr>
      <w:r>
        <w:rPr>
          <w:rFonts w:ascii="Times New Roman" w:hAnsi="Times New Roman"/>
          <w:sz w:val="20"/>
        </w:rPr>
        <w:t xml:space="preserve">[18] Anthony, L. F. W., Kanding, B., and Selvan, R. (2020). Carbontracker: Tracking and predicting the carbon footprint of training deep learning models. ICML Workshop on Challenges in Deploying and Monitoring Machine Learning Systems. https://arxiv.org/abs/2007.03051</w:t>
      </w:r>
    </w:p>
    <w:p>
      <w:pPr>
        <w:pStyle w:val="1"/>
        <w:widowControl/>
        <w:spacing w:after="100" w:line="252" w:lineRule="auto"/>
        <w:ind w:left="420" w:hanging="420"/>
      </w:pPr>
      <w:r>
        <w:rPr>
          <w:rFonts w:ascii="Times New Roman" w:hAnsi="Times New Roman"/>
          <w:sz w:val="20"/>
        </w:rPr>
        <w:t xml:space="preserve">[19] Lannelongue, L., et al. (2023). GREENER principles for environmentally sustainable computational science. Nature Computational Science, 3, 514–521. https://doi.org/10.1038/s43588-023-00461-y</w:t>
      </w:r>
    </w:p>
    <w:p>
      <w:pPr>
        <w:pStyle w:val="1"/>
        <w:widowControl/>
        <w:spacing w:after="100" w:line="252" w:lineRule="auto"/>
        <w:ind w:left="420" w:hanging="420"/>
      </w:pPr>
      <w:r>
        <w:rPr>
          <w:rFonts w:ascii="Times New Roman" w:hAnsi="Times New Roman"/>
          <w:sz w:val="20"/>
        </w:rPr>
        <w:t xml:space="preserve">[20] Lannelongue, L., Grealey, J., Bateman, A., and Inouye, M. (2021). Ten simple rules to make your computing more environmentally sustainable. PLOS Computational Biology, 17, e1009324. https://doi.org/10.1371/journal.pcbi.1009324</w:t>
      </w:r>
    </w:p>
    <w:p>
      <w:pPr>
        <w:pStyle w:val="1"/>
        <w:widowControl/>
        <w:spacing w:after="100" w:line="252" w:lineRule="auto"/>
        <w:ind w:left="420" w:hanging="420"/>
      </w:pPr>
      <w:r>
        <w:rPr>
          <w:rFonts w:ascii="Times New Roman" w:hAnsi="Times New Roman"/>
          <w:sz w:val="20"/>
        </w:rPr>
        <w:t xml:space="preserve">[21] Gupta, U., et al. (2021). Chasing carbon: The elusive environmental footprint of computing. Proceedings of HPCA, 854–867. https://arxiv.org/abs/2011.02839</w:t>
      </w:r>
    </w:p>
    <w:p>
      <w:pPr>
        <w:pStyle w:val="1"/>
        <w:widowControl/>
        <w:spacing w:after="100" w:line="252" w:lineRule="auto"/>
        <w:ind w:left="420" w:hanging="420"/>
      </w:pPr>
      <w:r>
        <w:rPr>
          <w:rFonts w:ascii="Times New Roman" w:hAnsi="Times New Roman"/>
          <w:sz w:val="20"/>
        </w:rPr>
        <w:t xml:space="preserve">[22] Kalibera, T., and Jones, R. E. (2013). Rigorous benchmarking in reasonable time. Proceedings of ISMM, 63–74. https://doi.org/10.1145/2464157.2464160</w:t>
      </w:r>
    </w:p>
    <w:p>
      <w:pPr>
        <w:pStyle w:val="1"/>
        <w:widowControl/>
        <w:spacing w:after="100" w:line="252" w:lineRule="auto"/>
        <w:ind w:left="420" w:hanging="420"/>
      </w:pPr>
      <w:r>
        <w:rPr>
          <w:rFonts w:ascii="Times New Roman" w:hAnsi="Times New Roman"/>
          <w:sz w:val="20"/>
        </w:rPr>
        <w:t xml:space="preserve">[23] Green Software Foundation. Software Carbon Intensity specification, version 1.1.0. https://sci.greensoftware.foundation/ (accessed 22 October 2026).</w:t>
      </w:r>
    </w:p>
    <w:p>
      <w:pPr>
        <w:pStyle w:val="1"/>
        <w:widowControl/>
        <w:spacing w:after="100" w:line="252" w:lineRule="auto"/>
        <w:ind w:left="420" w:hanging="420"/>
      </w:pPr>
      <w:r>
        <w:rPr>
          <w:rFonts w:ascii="Times New Roman" w:hAnsi="Times New Roman"/>
          <w:sz w:val="20"/>
        </w:rPr>
        <w:t xml:space="preserve">[24] Linux Kernel Documentation. Power capping framework. https://docs.kernel.org/power/powercap/powercap.html (accessed 22 October 2026).</w:t>
      </w:r>
    </w:p>
    <w:p>
      <w:pPr>
        <w:pStyle w:val="1"/>
        <w:widowControl/>
        <w:spacing w:after="100" w:line="252" w:lineRule="auto"/>
        <w:ind w:left="420" w:hanging="420"/>
      </w:pPr>
      <w:r>
        <w:rPr>
          <w:rFonts w:ascii="Times New Roman" w:hAnsi="Times New Roman"/>
          <w:sz w:val="20"/>
        </w:rPr>
        <w:t xml:space="preserve">[25] Pedregosa, F., et al. (2011). Scikit-learn: Machine learning in Python. Journal of Machine Learning Research, 12(85), 2825–2830. https://jmlr.org/papers/v12/pedregosa11a.html</w:t>
      </w:r>
    </w:p>
    <w:p>
      <w:pPr>
        <w:pStyle w:val="1"/>
        <w:widowControl/>
        <w:spacing w:after="100" w:line="252" w:lineRule="auto"/>
        <w:ind w:left="420" w:hanging="420"/>
      </w:pPr>
      <w:r>
        <w:rPr>
          <w:rFonts w:ascii="Times New Roman" w:hAnsi="Times New Roman"/>
          <w:sz w:val="20"/>
        </w:rPr>
        <w:t xml:space="preserve">[26] Scikit-learn Developers. Ridge. Scikit-learn 1.7 documentation. https://scikit-learn.org/1.7/modules/generated/sklearn.linear_model.Ridge.html (accessed 22 October 2026).</w:t>
      </w:r>
    </w:p>
    <w:p>
      <w:pPr>
        <w:pStyle w:val="1"/>
        <w:widowControl/>
        <w:spacing w:after="100" w:line="252" w:lineRule="auto"/>
        <w:ind w:left="420" w:hanging="420"/>
      </w:pPr>
      <w:r>
        <w:rPr>
          <w:rFonts w:ascii="Times New Roman" w:hAnsi="Times New Roman"/>
          <w:sz w:val="20"/>
        </w:rPr>
        <w:t xml:space="preserve">[27] Microsoft. Acquiring high-resolution time stamps. Microsoft Learn. https://learn.microsoft.com/en-us/windows/win32/sysinfo/acquiring-high-resolution-time-stamps (accessed 22 October 2026).</w:t>
      </w:r>
    </w:p>
    <w:p>
      <w:pPr>
        <w:pStyle w:val="1"/>
        <w:widowControl/>
        <w:spacing w:after="100" w:line="252" w:lineRule="auto"/>
        <w:ind w:left="420" w:hanging="420"/>
      </w:pPr>
      <w:r>
        <w:rPr>
          <w:rFonts w:ascii="Times New Roman" w:hAnsi="Times New Roman"/>
          <w:sz w:val="20"/>
        </w:rPr>
        <w:t xml:space="preserve">[28] Scikit-learn Developers. GroupShuffleSplit. Scikit-learn documentation. https://scikit-learn.org/stable/modules/generated/sklearn.model_selection.GroupShuffleSplit.html (accessed 22 October 2026).</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mbria Math">
    <w:panose1 w:val="02040503050406030204"/>
    <w:charset w:val="00"/>
    <w:family w:val="auto"/>
    <w:pitch w:val="variable"/>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C63F41">
    <w:pPr>
      <w:jc w:val="center"/>
    </w:pPr>
    <w:r>
      <w:rPr>
        <w:color w:val="6A6A6A"/>
        <w:sz w:val="17"/>
        <w:szCs w:val="17"/>
      </w:rPr>
      <w:fldChar w:fldCharType="begin"/>
    </w:r>
    <w:r>
      <w:rPr>
        <w:color w:val="6A6A6A"/>
        <w:sz w:val="17"/>
        <w:szCs w:val="17"/>
      </w:rPr>
      <w:instrText xml:space="preserve">PAGE</w:instrText>
    </w:r>
    <w:r>
      <w:rPr>
        <w:color w:val="6A6A6A"/>
        <w:sz w:val="17"/>
        <w:szCs w:val="17"/>
      </w:rPr>
      <w:fldChar w:fldCharType="separate"/>
    </w:r>
    <w:r>
      <w:rPr>
        <w:color w:val="6A6A6A"/>
        <w:sz w:val="17"/>
        <w:szCs w:val="17"/>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99C3C4">
    <w:pPr>
      <w:jc w:val="right"/>
    </w:pPr>
    <w:r>
      <w:rPr>
        <w:i/>
        <w:iCs/>
        <w:color w:val="6A6A6A"/>
        <w:sz w:val="17"/>
        <w:szCs w:val="17"/>
      </w:rPr>
      <w:t>Manuscript for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nsid w:val="3FC2091C"/>
    <w:multiLevelType w:val="multilevel"/>
    <w:tmpl w:val="3FC209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bordersDoNotSurroundHeader w:val="0"/>
  <w:bordersDoNotSurroundFooter w:val="0"/>
  <w:documentProtection w:enforcement="0"/>
  <w:displayHorizontalDrawingGridEvery w:val="1"/>
  <w:displayVerticalDrawingGridEvery w:val="1"/>
  <w:compat>
    <w:doNotExpandShiftReturn/>
    <w:compatSetting w:name="compatibilityMode" w:uri="http://schemas.microsoft.com/office/word" w:val="15"/>
  </w:compat>
  <w:rsids>
    <w:rsidRoot w:val="00000000"/>
    <w:rsid w:val="0A526877"/>
    <w:rsid w:val="170148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2"/>
      <w:szCs w:val="22"/>
    </w:rPr>
  </w:style>
  <w:style w:type="paragraph" w:styleId="6">
    <w:name w:val="heading 5"/>
    <w:next w:val="1"/>
    <w:qFormat/>
    <w:uiPriority w:val="0"/>
    <w:rPr>
      <w:rFonts w:ascii="Times New Roman" w:hAnsi="Times New Roman" w:eastAsia="Times New Roman" w:cs="Times New Roman"/>
      <w:color w:val="2E74B5"/>
      <w:sz w:val="22"/>
      <w:szCs w:val="22"/>
    </w:rPr>
  </w:style>
  <w:style w:type="paragraph" w:styleId="7">
    <w:name w:val="heading 6"/>
    <w:next w:val="1"/>
    <w:qFormat/>
    <w:uiPriority w:val="0"/>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eastAsia="en-US"/>
    </w:rPr>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GreenFigure1" Type="http://schemas.openxmlformats.org/officeDocument/2006/relationships/image" Target="media/architecture.png"/><Relationship Id="rIdGreenFigure2" Type="http://schemas.openxmlformats.org/officeDocument/2006/relationships/image" Target="media/prediction_errors.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1505</Words>
  <Characters>8250</Characters>
  <TotalTime>363</TotalTime>
  <ScaleCrop>false</ScaleCrop>
  <LinksUpToDate>false</LinksUpToDate>
  <CharactersWithSpaces>9627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2026-09-03T04:32:00Z</dcterms:created>
  <dc:creator>Un-named</dc:creator>
  <cp:lastModifiedBy>WPS_1673440537</cp:lastModifiedBy>
  <dcterms:modified xsi:type="dcterms:W3CDTF">2026-09-03T11:55:32Z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eyJoZGlkIjoiZmUxOTVkYWM2MmExNWFlZjI0ODA4NzBmZDQyODhjNWMiLCJ1c2VySWQiOiI1NjczNDE5ODcxMDMifQ==</vt:lpwstr>
  </property>
  <property fmtid="{D5CDD505-2E9C-101B-9397-08002B2CF9AE}" pid="3" name="KSOProductBuildVer">
    <vt:lpwstr>1033-12.1.0.28032</vt:lpwstr>
  </property>
  <property fmtid="{D5CDD505-2E9C-101B-9397-08002B2CF9AE}" pid="4" name="ICV">
    <vt:lpwstr>6E2080CED7524EC9BD97603F5570E43F_13</vt:lpwstr>
  </property>
</Properties>
</file>