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Machine Learning</w:t>
      </w:r>
    </w:p>
    <w:p>
      <w:r>
        <w:rPr>
          <w:color w:val="4D6985"/>
          <w:sz w:val="28"/>
        </w:rPr>
        <w:t>A beginner guide to the QML Lab</w:t>
      </w:r>
    </w:p>
    <w:p>
      <w:pPr>
        <w:pStyle w:val="Heading1"/>
      </w:pPr>
      <w:r>
        <w:t>The big idea</w:t>
      </w:r>
    </w:p>
    <w:p>
      <w:r>
        <w:t>The lab is a practice classroom for models that use quantum circuits. It gives a model examples with known answers, lets the model learn a pattern, and checks whether it can answer examples it did not practice on. Some models predict a category; another predicts a number.</w:t>
      </w:r>
    </w:p>
    <w:p>
      <w:r>
        <w:t>The built-in problems are practice data. The goal is to learn how the models behave and compare them. A quantum model is not guaranteed to do better than a classical model.</w:t>
      </w:r>
    </w:p>
    <w:p>
      <w:pPr>
        <w:pStyle w:val="Heading1"/>
      </w:pPr>
      <w:r>
        <w:t>1. The datasets are the practice problems</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12"/>
        <w:gridCol w:w="3312"/>
        <w:gridCol w:w="3312"/>
      </w:tblGrid>
      <w:tr>
        <w:trPr>
          <w:tblHeader w:val="true"/>
        </w:trPr>
        <w:tc>
          <w:tcPr>
            <w:tcW w:type="dxa" w:w="3312"/>
            <w:vAlign w:val="center"/>
            <w:shd w:fill="183A5A"/>
          </w:tcPr>
          <w:p>
            <w:pPr>
              <w:spacing w:after="40"/>
            </w:pPr>
            <w:r/>
            <w:r>
              <w:rPr>
                <w:rFonts w:ascii="Aptos" w:hAnsi="Aptos"/>
                <w:b/>
                <w:color w:val="FFFFFF"/>
                <w:sz w:val="18"/>
              </w:rPr>
              <w:t>Dataset</w:t>
            </w:r>
          </w:p>
        </w:tc>
        <w:tc>
          <w:tcPr>
            <w:tcW w:type="dxa" w:w="3312"/>
            <w:vAlign w:val="center"/>
            <w:shd w:fill="183A5A"/>
          </w:tcPr>
          <w:p>
            <w:pPr>
              <w:spacing w:after="40"/>
            </w:pPr>
            <w:r/>
            <w:r>
              <w:rPr>
                <w:rFonts w:ascii="Aptos" w:hAnsi="Aptos"/>
                <w:b/>
                <w:color w:val="FFFFFF"/>
                <w:sz w:val="18"/>
              </w:rPr>
              <w:t>Task</w:t>
            </w:r>
          </w:p>
        </w:tc>
        <w:tc>
          <w:tcPr>
            <w:tcW w:type="dxa" w:w="3312"/>
            <w:vAlign w:val="center"/>
            <w:shd w:fill="183A5A"/>
          </w:tcPr>
          <w:p>
            <w:pPr>
              <w:spacing w:after="40"/>
            </w:pPr>
            <w:r/>
            <w:r>
              <w:rPr>
                <w:rFonts w:ascii="Aptos" w:hAnsi="Aptos"/>
                <w:b/>
                <w:color w:val="FFFFFF"/>
                <w:sz w:val="18"/>
              </w:rPr>
              <w:t>What the examples look like</w:t>
            </w:r>
          </w:p>
        </w:tc>
      </w:tr>
      <w:tr>
        <w:trPr>
          <w:cantSplit/>
        </w:trPr>
        <w:tc>
          <w:tcPr>
            <w:tcW w:type="dxa" w:w="3312"/>
            <w:vAlign w:val="center"/>
          </w:tcPr>
          <w:p>
            <w:pPr>
              <w:spacing w:after="40"/>
            </w:pPr>
            <w:r/>
            <w:r>
              <w:rPr>
                <w:rFonts w:ascii="Aptos" w:hAnsi="Aptos"/>
                <w:b w:val="0"/>
                <w:sz w:val="18"/>
              </w:rPr>
              <w:t>moons</w:t>
            </w:r>
          </w:p>
        </w:tc>
        <w:tc>
          <w:tcPr>
            <w:tcW w:type="dxa" w:w="3312"/>
            <w:vAlign w:val="center"/>
          </w:tcPr>
          <w:p>
            <w:pPr>
              <w:spacing w:after="40"/>
            </w:pPr>
            <w:r/>
            <w:r>
              <w:rPr>
                <w:rFonts w:ascii="Aptos" w:hAnsi="Aptos"/>
                <w:b w:val="0"/>
                <w:sz w:val="18"/>
              </w:rPr>
              <w:t>Classification</w:t>
            </w:r>
          </w:p>
        </w:tc>
        <w:tc>
          <w:tcPr>
            <w:tcW w:type="dxa" w:w="3312"/>
            <w:vAlign w:val="center"/>
          </w:tcPr>
          <w:p>
            <w:pPr>
              <w:spacing w:after="40"/>
            </w:pPr>
            <w:r/>
            <w:r>
              <w:rPr>
                <w:rFonts w:ascii="Aptos" w:hAnsi="Aptos"/>
                <w:b w:val="0"/>
                <w:sz w:val="18"/>
              </w:rPr>
              <w:t>Generated dots in two crescent shapes. The answer tells which crescent each dot belongs to.</w:t>
            </w:r>
          </w:p>
        </w:tc>
      </w:tr>
      <w:tr>
        <w:trPr>
          <w:cantSplit/>
        </w:trPr>
        <w:tc>
          <w:tcPr>
            <w:tcW w:type="dxa" w:w="3312"/>
            <w:vAlign w:val="center"/>
            <w:shd w:fill="F1F5F9"/>
          </w:tcPr>
          <w:p>
            <w:pPr>
              <w:spacing w:after="40"/>
            </w:pPr>
            <w:r/>
            <w:r>
              <w:rPr>
                <w:rFonts w:ascii="Aptos" w:hAnsi="Aptos"/>
                <w:b w:val="0"/>
                <w:sz w:val="18"/>
              </w:rPr>
              <w:t>circles</w:t>
            </w:r>
          </w:p>
        </w:tc>
        <w:tc>
          <w:tcPr>
            <w:tcW w:type="dxa" w:w="3312"/>
            <w:vAlign w:val="center"/>
            <w:shd w:fill="F1F5F9"/>
          </w:tcPr>
          <w:p>
            <w:pPr>
              <w:spacing w:after="40"/>
            </w:pPr>
            <w:r/>
            <w:r>
              <w:rPr>
                <w:rFonts w:ascii="Aptos" w:hAnsi="Aptos"/>
                <w:b w:val="0"/>
                <w:sz w:val="18"/>
              </w:rPr>
              <w:t>Classification</w:t>
            </w:r>
          </w:p>
        </w:tc>
        <w:tc>
          <w:tcPr>
            <w:tcW w:type="dxa" w:w="3312"/>
            <w:vAlign w:val="center"/>
            <w:shd w:fill="F1F5F9"/>
          </w:tcPr>
          <w:p>
            <w:pPr>
              <w:spacing w:after="40"/>
            </w:pPr>
            <w:r/>
            <w:r>
              <w:rPr>
                <w:rFonts w:ascii="Aptos" w:hAnsi="Aptos"/>
                <w:b w:val="0"/>
                <w:sz w:val="18"/>
              </w:rPr>
              <w:t>Generated dots in an inner circle and an outer circle. The answer tells which circle each dot belongs to.</w:t>
            </w:r>
          </w:p>
        </w:tc>
      </w:tr>
      <w:tr>
        <w:trPr>
          <w:cantSplit/>
        </w:trPr>
        <w:tc>
          <w:tcPr>
            <w:tcW w:type="dxa" w:w="3312"/>
            <w:vAlign w:val="center"/>
          </w:tcPr>
          <w:p>
            <w:pPr>
              <w:spacing w:after="40"/>
            </w:pPr>
            <w:r/>
            <w:r>
              <w:rPr>
                <w:rFonts w:ascii="Aptos" w:hAnsi="Aptos"/>
                <w:b w:val="0"/>
                <w:sz w:val="18"/>
              </w:rPr>
              <w:t>iris_binary</w:t>
            </w:r>
          </w:p>
        </w:tc>
        <w:tc>
          <w:tcPr>
            <w:tcW w:type="dxa" w:w="3312"/>
            <w:vAlign w:val="center"/>
          </w:tcPr>
          <w:p>
            <w:pPr>
              <w:spacing w:after="40"/>
            </w:pPr>
            <w:r/>
            <w:r>
              <w:rPr>
                <w:rFonts w:ascii="Aptos" w:hAnsi="Aptos"/>
                <w:b w:val="0"/>
                <w:sz w:val="18"/>
              </w:rPr>
              <w:t>Classification</w:t>
            </w:r>
          </w:p>
        </w:tc>
        <w:tc>
          <w:tcPr>
            <w:tcW w:type="dxa" w:w="3312"/>
            <w:vAlign w:val="center"/>
          </w:tcPr>
          <w:p>
            <w:pPr>
              <w:spacing w:after="40"/>
            </w:pPr>
            <w:r/>
            <w:r>
              <w:rPr>
                <w:rFonts w:ascii="Aptos" w:hAnsi="Aptos"/>
                <w:b w:val="0"/>
                <w:sz w:val="18"/>
              </w:rPr>
              <w:t>Real flower measurements: Setosa or Versicolor, described by four sepal and petal measurements.</w:t>
            </w:r>
          </w:p>
        </w:tc>
      </w:tr>
      <w:tr>
        <w:trPr>
          <w:cantSplit/>
        </w:trPr>
        <w:tc>
          <w:tcPr>
            <w:tcW w:type="dxa" w:w="3312"/>
            <w:vAlign w:val="center"/>
            <w:shd w:fill="F1F5F9"/>
          </w:tcPr>
          <w:p>
            <w:pPr>
              <w:spacing w:after="40"/>
            </w:pPr>
            <w:r/>
            <w:r>
              <w:rPr>
                <w:rFonts w:ascii="Aptos" w:hAnsi="Aptos"/>
                <w:b w:val="0"/>
                <w:sz w:val="18"/>
              </w:rPr>
              <w:t>sine</w:t>
            </w:r>
          </w:p>
        </w:tc>
        <w:tc>
          <w:tcPr>
            <w:tcW w:type="dxa" w:w="3312"/>
            <w:vAlign w:val="center"/>
            <w:shd w:fill="F1F5F9"/>
          </w:tcPr>
          <w:p>
            <w:pPr>
              <w:spacing w:after="40"/>
            </w:pPr>
            <w:r/>
            <w:r>
              <w:rPr>
                <w:rFonts w:ascii="Aptos" w:hAnsi="Aptos"/>
                <w:b w:val="0"/>
                <w:sz w:val="18"/>
              </w:rPr>
              <w:t>Regression</w:t>
            </w:r>
          </w:p>
        </w:tc>
        <w:tc>
          <w:tcPr>
            <w:tcW w:type="dxa" w:w="3312"/>
            <w:vAlign w:val="center"/>
            <w:shd w:fill="F1F5F9"/>
          </w:tcPr>
          <w:p>
            <w:pPr>
              <w:spacing w:after="40"/>
            </w:pPr>
            <w:r/>
            <w:r>
              <w:rPr>
                <w:rFonts w:ascii="Aptos" w:hAnsi="Aptos"/>
                <w:b w:val="0"/>
                <w:sz w:val="18"/>
              </w:rPr>
              <w:t>Generated x values with target y = sin(x). The model predicts a number.</w:t>
            </w:r>
          </w:p>
        </w:tc>
      </w:tr>
      <w:tr>
        <w:trPr>
          <w:cantSplit/>
        </w:trPr>
        <w:tc>
          <w:tcPr>
            <w:tcW w:type="dxa" w:w="3312"/>
            <w:vAlign w:val="center"/>
          </w:tcPr>
          <w:p>
            <w:pPr>
              <w:spacing w:after="40"/>
            </w:pPr>
            <w:r/>
            <w:r>
              <w:rPr>
                <w:rFonts w:ascii="Aptos" w:hAnsi="Aptos"/>
                <w:b w:val="0"/>
                <w:sz w:val="18"/>
              </w:rPr>
              <w:t>damped_cosine</w:t>
            </w:r>
          </w:p>
        </w:tc>
        <w:tc>
          <w:tcPr>
            <w:tcW w:type="dxa" w:w="3312"/>
            <w:vAlign w:val="center"/>
          </w:tcPr>
          <w:p>
            <w:pPr>
              <w:spacing w:after="40"/>
            </w:pPr>
            <w:r/>
            <w:r>
              <w:rPr>
                <w:rFonts w:ascii="Aptos" w:hAnsi="Aptos"/>
                <w:b w:val="0"/>
                <w:sz w:val="18"/>
              </w:rPr>
              <w:t>Regression</w:t>
            </w:r>
          </w:p>
        </w:tc>
        <w:tc>
          <w:tcPr>
            <w:tcW w:type="dxa" w:w="3312"/>
            <w:vAlign w:val="center"/>
          </w:tcPr>
          <w:p>
            <w:pPr>
              <w:spacing w:after="40"/>
            </w:pPr>
            <w:r/>
            <w:r>
              <w:rPr>
                <w:rFonts w:ascii="Aptos" w:hAnsi="Aptos"/>
                <w:b w:val="0"/>
                <w:sz w:val="18"/>
              </w:rPr>
              <w:t>Generated x values with a cosine target whose size shrinks away from the center.</w:t>
            </w:r>
          </w:p>
        </w:tc>
      </w:tr>
      <w:tr>
        <w:trPr>
          <w:cantSplit/>
        </w:trPr>
        <w:tc>
          <w:tcPr>
            <w:tcW w:type="dxa" w:w="3312"/>
            <w:vAlign w:val="center"/>
            <w:shd w:fill="F1F5F9"/>
          </w:tcPr>
          <w:p>
            <w:pPr>
              <w:spacing w:after="40"/>
            </w:pPr>
            <w:r/>
            <w:r>
              <w:rPr>
                <w:rFonts w:ascii="Aptos" w:hAnsi="Aptos"/>
                <w:b w:val="0"/>
                <w:sz w:val="18"/>
              </w:rPr>
              <w:t>linear_mix</w:t>
            </w:r>
          </w:p>
        </w:tc>
        <w:tc>
          <w:tcPr>
            <w:tcW w:type="dxa" w:w="3312"/>
            <w:vAlign w:val="center"/>
            <w:shd w:fill="F1F5F9"/>
          </w:tcPr>
          <w:p>
            <w:pPr>
              <w:spacing w:after="40"/>
            </w:pPr>
            <w:r/>
            <w:r>
              <w:rPr>
                <w:rFonts w:ascii="Aptos" w:hAnsi="Aptos"/>
                <w:b w:val="0"/>
                <w:sz w:val="18"/>
              </w:rPr>
              <w:t>Regression</w:t>
            </w:r>
          </w:p>
        </w:tc>
        <w:tc>
          <w:tcPr>
            <w:tcW w:type="dxa" w:w="3312"/>
            <w:vAlign w:val="center"/>
            <w:shd w:fill="F1F5F9"/>
          </w:tcPr>
          <w:p>
            <w:pPr>
              <w:spacing w:after="40"/>
            </w:pPr>
            <w:r/>
            <w:r>
              <w:rPr>
                <w:rFonts w:ascii="Aptos" w:hAnsi="Aptos"/>
                <w:b w:val="0"/>
                <w:sz w:val="18"/>
              </w:rPr>
              <w:t>Two inputs x1 and x2 with target y = 1.5x1 - 0.8x2; a simple linear control problem.</w:t>
            </w:r>
          </w:p>
        </w:tc>
      </w:tr>
    </w:tbl>
    <w:p>
      <w:pPr>
        <w:spacing w:after="20"/>
      </w:pPr>
    </w:p>
    <w:p>
      <w:r>
        <w:t>Classification means “which group?” Regression means “what number?” The three classification models use moons, circles, or iris_binary. Quantum regression uses sine, damped_cosine, or linear_mix.</w:t>
      </w:r>
    </w:p>
    <w:p>
      <w:pPr>
        <w:pStyle w:val="Heading1"/>
      </w:pPr>
      <w:r>
        <w:t>2. What the settings in the lab mean</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12"/>
        <w:gridCol w:w="3312"/>
        <w:gridCol w:w="3312"/>
      </w:tblGrid>
      <w:tr>
        <w:trPr>
          <w:tblHeader w:val="true"/>
        </w:trPr>
        <w:tc>
          <w:tcPr>
            <w:tcW w:type="dxa" w:w="3312"/>
            <w:vAlign w:val="center"/>
            <w:shd w:fill="183A5A"/>
          </w:tcPr>
          <w:p>
            <w:pPr>
              <w:spacing w:after="40"/>
            </w:pPr>
            <w:r/>
            <w:r>
              <w:rPr>
                <w:rFonts w:ascii="Aptos" w:hAnsi="Aptos"/>
                <w:b/>
                <w:color w:val="FFFFFF"/>
                <w:sz w:val="18"/>
              </w:rPr>
              <w:t>Setting</w:t>
            </w:r>
          </w:p>
        </w:tc>
        <w:tc>
          <w:tcPr>
            <w:tcW w:type="dxa" w:w="3312"/>
            <w:vAlign w:val="center"/>
            <w:shd w:fill="183A5A"/>
          </w:tcPr>
          <w:p>
            <w:pPr>
              <w:spacing w:after="40"/>
            </w:pPr>
            <w:r/>
            <w:r>
              <w:rPr>
                <w:rFonts w:ascii="Aptos" w:hAnsi="Aptos"/>
                <w:b/>
                <w:color w:val="FFFFFF"/>
                <w:sz w:val="18"/>
              </w:rPr>
              <w:t>In everyday words</w:t>
            </w:r>
          </w:p>
        </w:tc>
        <w:tc>
          <w:tcPr>
            <w:tcW w:type="dxa" w:w="3312"/>
            <w:vAlign w:val="center"/>
            <w:shd w:fill="183A5A"/>
          </w:tcPr>
          <w:p>
            <w:pPr>
              <w:spacing w:after="40"/>
            </w:pPr>
            <w:r/>
            <w:r>
              <w:rPr>
                <w:rFonts w:ascii="Aptos" w:hAnsi="Aptos"/>
                <w:b/>
                <w:color w:val="FFFFFF"/>
                <w:sz w:val="18"/>
              </w:rPr>
              <w:t>What changing it does</w:t>
            </w:r>
          </w:p>
        </w:tc>
      </w:tr>
      <w:tr>
        <w:trPr>
          <w:cantSplit/>
        </w:trPr>
        <w:tc>
          <w:tcPr>
            <w:tcW w:type="dxa" w:w="3312"/>
            <w:vAlign w:val="center"/>
          </w:tcPr>
          <w:p>
            <w:pPr>
              <w:spacing w:after="40"/>
            </w:pPr>
            <w:r/>
            <w:r>
              <w:rPr>
                <w:rFonts w:ascii="Aptos" w:hAnsi="Aptos"/>
                <w:b w:val="0"/>
                <w:sz w:val="18"/>
              </w:rPr>
              <w:t>Algorithm / Model</w:t>
            </w:r>
          </w:p>
        </w:tc>
        <w:tc>
          <w:tcPr>
            <w:tcW w:type="dxa" w:w="3312"/>
            <w:vAlign w:val="center"/>
          </w:tcPr>
          <w:p>
            <w:pPr>
              <w:spacing w:after="40"/>
            </w:pPr>
            <w:r/>
            <w:r>
              <w:rPr>
                <w:rFonts w:ascii="Aptos" w:hAnsi="Aptos"/>
                <w:b w:val="0"/>
                <w:sz w:val="18"/>
              </w:rPr>
              <w:t>Which kind of learner to use.</w:t>
            </w:r>
          </w:p>
        </w:tc>
        <w:tc>
          <w:tcPr>
            <w:tcW w:type="dxa" w:w="3312"/>
            <w:vAlign w:val="center"/>
          </w:tcPr>
          <w:p>
            <w:pPr>
              <w:spacing w:after="40"/>
            </w:pPr>
            <w:r/>
            <w:r>
              <w:rPr>
                <w:rFonts w:ascii="Aptos" w:hAnsi="Aptos"/>
                <w:b w:val="0"/>
                <w:sz w:val="18"/>
              </w:rPr>
              <w:t>Changes how the circuit and learning procedure make predictions.</w:t>
            </w:r>
          </w:p>
        </w:tc>
      </w:tr>
      <w:tr>
        <w:trPr>
          <w:cantSplit/>
        </w:trPr>
        <w:tc>
          <w:tcPr>
            <w:tcW w:type="dxa" w:w="3312"/>
            <w:vAlign w:val="center"/>
            <w:shd w:fill="F1F5F9"/>
          </w:tcPr>
          <w:p>
            <w:pPr>
              <w:spacing w:after="40"/>
            </w:pPr>
            <w:r/>
            <w:r>
              <w:rPr>
                <w:rFonts w:ascii="Aptos" w:hAnsi="Aptos"/>
                <w:b w:val="0"/>
                <w:sz w:val="18"/>
              </w:rPr>
              <w:t>Source</w:t>
            </w:r>
          </w:p>
        </w:tc>
        <w:tc>
          <w:tcPr>
            <w:tcW w:type="dxa" w:w="3312"/>
            <w:vAlign w:val="center"/>
            <w:shd w:fill="F1F5F9"/>
          </w:tcPr>
          <w:p>
            <w:pPr>
              <w:spacing w:after="40"/>
            </w:pPr>
            <w:r/>
            <w:r>
              <w:rPr>
                <w:rFonts w:ascii="Aptos" w:hAnsi="Aptos"/>
                <w:b w:val="0"/>
                <w:sz w:val="18"/>
              </w:rPr>
              <w:t>Which practice problem to use.</w:t>
            </w:r>
          </w:p>
        </w:tc>
        <w:tc>
          <w:tcPr>
            <w:tcW w:type="dxa" w:w="3312"/>
            <w:vAlign w:val="center"/>
            <w:shd w:fill="F1F5F9"/>
          </w:tcPr>
          <w:p>
            <w:pPr>
              <w:spacing w:after="40"/>
            </w:pPr>
            <w:r/>
            <w:r>
              <w:rPr>
                <w:rFonts w:ascii="Aptos" w:hAnsi="Aptos"/>
                <w:b w:val="0"/>
                <w:sz w:val="18"/>
              </w:rPr>
              <w:t>Changes the examples and correct answers.</w:t>
            </w:r>
          </w:p>
        </w:tc>
      </w:tr>
      <w:tr>
        <w:trPr>
          <w:cantSplit/>
        </w:trPr>
        <w:tc>
          <w:tcPr>
            <w:tcW w:type="dxa" w:w="3312"/>
            <w:vAlign w:val="center"/>
          </w:tcPr>
          <w:p>
            <w:pPr>
              <w:spacing w:after="40"/>
            </w:pPr>
            <w:r/>
            <w:r>
              <w:rPr>
                <w:rFonts w:ascii="Aptos" w:hAnsi="Aptos"/>
                <w:b w:val="0"/>
                <w:sz w:val="18"/>
              </w:rPr>
              <w:t>Samples</w:t>
            </w:r>
          </w:p>
        </w:tc>
        <w:tc>
          <w:tcPr>
            <w:tcW w:type="dxa" w:w="3312"/>
            <w:vAlign w:val="center"/>
          </w:tcPr>
          <w:p>
            <w:pPr>
              <w:spacing w:after="40"/>
            </w:pPr>
            <w:r/>
            <w:r>
              <w:rPr>
                <w:rFonts w:ascii="Aptos" w:hAnsi="Aptos"/>
                <w:b w:val="0"/>
                <w:sz w:val="18"/>
              </w:rPr>
              <w:t>How many examples the model gets.</w:t>
            </w:r>
          </w:p>
        </w:tc>
        <w:tc>
          <w:tcPr>
            <w:tcW w:type="dxa" w:w="3312"/>
            <w:vAlign w:val="center"/>
          </w:tcPr>
          <w:p>
            <w:pPr>
              <w:spacing w:after="40"/>
            </w:pPr>
            <w:r/>
            <w:r>
              <w:rPr>
                <w:rFonts w:ascii="Aptos" w:hAnsi="Aptos"/>
                <w:b w:val="0"/>
                <w:sz w:val="18"/>
              </w:rPr>
              <w:t>More examples mean more practice and usually more compute time. Iris has at most 100; the kernel has a separate cap.</w:t>
            </w:r>
          </w:p>
        </w:tc>
      </w:tr>
      <w:tr>
        <w:trPr>
          <w:cantSplit/>
        </w:trPr>
        <w:tc>
          <w:tcPr>
            <w:tcW w:type="dxa" w:w="3312"/>
            <w:vAlign w:val="center"/>
            <w:shd w:fill="F1F5F9"/>
          </w:tcPr>
          <w:p>
            <w:pPr>
              <w:spacing w:after="40"/>
            </w:pPr>
            <w:r/>
            <w:r>
              <w:rPr>
                <w:rFonts w:ascii="Aptos" w:hAnsi="Aptos"/>
                <w:b w:val="0"/>
                <w:sz w:val="18"/>
              </w:rPr>
              <w:t>Noise</w:t>
            </w:r>
          </w:p>
        </w:tc>
        <w:tc>
          <w:tcPr>
            <w:tcW w:type="dxa" w:w="3312"/>
            <w:vAlign w:val="center"/>
            <w:shd w:fill="F1F5F9"/>
          </w:tcPr>
          <w:p>
            <w:pPr>
              <w:spacing w:after="40"/>
            </w:pPr>
            <w:r/>
            <w:r>
              <w:rPr>
                <w:rFonts w:ascii="Aptos" w:hAnsi="Aptos"/>
                <w:b w:val="0"/>
                <w:sz w:val="18"/>
              </w:rPr>
              <w:t>How messy the generated examples are.</w:t>
            </w:r>
          </w:p>
        </w:tc>
        <w:tc>
          <w:tcPr>
            <w:tcW w:type="dxa" w:w="3312"/>
            <w:vAlign w:val="center"/>
            <w:shd w:fill="F1F5F9"/>
          </w:tcPr>
          <w:p>
            <w:pPr>
              <w:spacing w:after="40"/>
            </w:pPr>
            <w:r/>
            <w:r>
              <w:rPr>
                <w:rFonts w:ascii="Aptos" w:hAnsi="Aptos"/>
                <w:b w:val="0"/>
                <w:sz w:val="18"/>
              </w:rPr>
              <w:t>More noise makes groups overlap or targets less exact, making learning harder.</w:t>
            </w:r>
          </w:p>
        </w:tc>
      </w:tr>
      <w:tr>
        <w:trPr>
          <w:cantSplit/>
        </w:trPr>
        <w:tc>
          <w:tcPr>
            <w:tcW w:type="dxa" w:w="3312"/>
            <w:vAlign w:val="center"/>
          </w:tcPr>
          <w:p>
            <w:pPr>
              <w:spacing w:after="40"/>
            </w:pPr>
            <w:r/>
            <w:r>
              <w:rPr>
                <w:rFonts w:ascii="Aptos" w:hAnsi="Aptos"/>
                <w:b w:val="0"/>
                <w:sz w:val="18"/>
              </w:rPr>
              <w:t>Test fraction</w:t>
            </w:r>
          </w:p>
        </w:tc>
        <w:tc>
          <w:tcPr>
            <w:tcW w:type="dxa" w:w="3312"/>
            <w:vAlign w:val="center"/>
          </w:tcPr>
          <w:p>
            <w:pPr>
              <w:spacing w:after="40"/>
            </w:pPr>
            <w:r/>
            <w:r>
              <w:rPr>
                <w:rFonts w:ascii="Aptos" w:hAnsi="Aptos"/>
                <w:b w:val="0"/>
                <w:sz w:val="18"/>
              </w:rPr>
              <w:t>The share held back for a final quiz.</w:t>
            </w:r>
          </w:p>
        </w:tc>
        <w:tc>
          <w:tcPr>
            <w:tcW w:type="dxa" w:w="3312"/>
            <w:vAlign w:val="center"/>
          </w:tcPr>
          <w:p>
            <w:pPr>
              <w:spacing w:after="40"/>
            </w:pPr>
            <w:r/>
            <w:r>
              <w:rPr>
                <w:rFonts w:ascii="Aptos" w:hAnsi="Aptos"/>
                <w:b w:val="0"/>
                <w:sz w:val="18"/>
              </w:rPr>
              <w:t>At 0.3, about 30% are held out; the model does not train on them.</w:t>
            </w:r>
          </w:p>
        </w:tc>
      </w:tr>
      <w:tr>
        <w:trPr>
          <w:cantSplit/>
        </w:trPr>
        <w:tc>
          <w:tcPr>
            <w:tcW w:type="dxa" w:w="3312"/>
            <w:vAlign w:val="center"/>
            <w:shd w:fill="F1F5F9"/>
          </w:tcPr>
          <w:p>
            <w:pPr>
              <w:spacing w:after="40"/>
            </w:pPr>
            <w:r/>
            <w:r>
              <w:rPr>
                <w:rFonts w:ascii="Aptos" w:hAnsi="Aptos"/>
                <w:b w:val="0"/>
                <w:sz w:val="18"/>
              </w:rPr>
              <w:t>Qubits</w:t>
            </w:r>
          </w:p>
        </w:tc>
        <w:tc>
          <w:tcPr>
            <w:tcW w:type="dxa" w:w="3312"/>
            <w:vAlign w:val="center"/>
            <w:shd w:fill="F1F5F9"/>
          </w:tcPr>
          <w:p>
            <w:pPr>
              <w:spacing w:after="40"/>
            </w:pPr>
            <w:r/>
            <w:r>
              <w:rPr>
                <w:rFonts w:ascii="Aptos" w:hAnsi="Aptos"/>
                <w:b w:val="0"/>
                <w:sz w:val="18"/>
              </w:rPr>
              <w:t>The circuit’s quantum information units.</w:t>
            </w:r>
          </w:p>
        </w:tc>
        <w:tc>
          <w:tcPr>
            <w:tcW w:type="dxa" w:w="3312"/>
            <w:vAlign w:val="center"/>
            <w:shd w:fill="F1F5F9"/>
          </w:tcPr>
          <w:p>
            <w:pPr>
              <w:spacing w:after="40"/>
            </w:pPr>
            <w:r/>
            <w:r>
              <w:rPr>
                <w:rFonts w:ascii="Aptos" w:hAnsi="Aptos"/>
                <w:b w:val="0"/>
                <w:sz w:val="18"/>
              </w:rPr>
              <w:t>The feature encoder needs at least one qubit per input feature.</w:t>
            </w:r>
          </w:p>
        </w:tc>
      </w:tr>
      <w:tr>
        <w:trPr>
          <w:cantSplit/>
        </w:trPr>
        <w:tc>
          <w:tcPr>
            <w:tcW w:type="dxa" w:w="3312"/>
            <w:vAlign w:val="center"/>
          </w:tcPr>
          <w:p>
            <w:pPr>
              <w:spacing w:after="40"/>
            </w:pPr>
            <w:r/>
            <w:r>
              <w:rPr>
                <w:rFonts w:ascii="Aptos" w:hAnsi="Aptos"/>
                <w:b w:val="0"/>
                <w:sz w:val="18"/>
              </w:rPr>
              <w:t>Layers</w:t>
            </w:r>
          </w:p>
        </w:tc>
        <w:tc>
          <w:tcPr>
            <w:tcW w:type="dxa" w:w="3312"/>
            <w:vAlign w:val="center"/>
          </w:tcPr>
          <w:p>
            <w:pPr>
              <w:spacing w:after="40"/>
            </w:pPr>
            <w:r/>
            <w:r>
              <w:rPr>
                <w:rFonts w:ascii="Aptos" w:hAnsi="Aptos"/>
                <w:b w:val="0"/>
                <w:sz w:val="18"/>
              </w:rPr>
              <w:t>Repeated blocks of trainable gates.</w:t>
            </w:r>
          </w:p>
        </w:tc>
        <w:tc>
          <w:tcPr>
            <w:tcW w:type="dxa" w:w="3312"/>
            <w:vAlign w:val="center"/>
          </w:tcPr>
          <w:p>
            <w:pPr>
              <w:spacing w:after="40"/>
            </w:pPr>
            <w:r/>
            <w:r>
              <w:rPr>
                <w:rFonts w:ascii="Aptos" w:hAnsi="Aptos"/>
                <w:b w:val="0"/>
                <w:sz w:val="18"/>
              </w:rPr>
              <w:t>More layers give the circuit more room to learn, but add computation and parameters.</w:t>
            </w:r>
          </w:p>
        </w:tc>
      </w:tr>
      <w:tr>
        <w:trPr>
          <w:cantSplit/>
        </w:trPr>
        <w:tc>
          <w:tcPr>
            <w:tcW w:type="dxa" w:w="3312"/>
            <w:vAlign w:val="center"/>
            <w:shd w:fill="F1F5F9"/>
          </w:tcPr>
          <w:p>
            <w:pPr>
              <w:spacing w:after="40"/>
            </w:pPr>
            <w:r/>
            <w:r>
              <w:rPr>
                <w:rFonts w:ascii="Aptos" w:hAnsi="Aptos"/>
                <w:b w:val="0"/>
                <w:sz w:val="18"/>
              </w:rPr>
              <w:t>Encoding axis</w:t>
            </w:r>
          </w:p>
        </w:tc>
        <w:tc>
          <w:tcPr>
            <w:tcW w:type="dxa" w:w="3312"/>
            <w:vAlign w:val="center"/>
            <w:shd w:fill="F1F5F9"/>
          </w:tcPr>
          <w:p>
            <w:pPr>
              <w:spacing w:after="40"/>
            </w:pPr>
            <w:r/>
            <w:r>
              <w:rPr>
                <w:rFonts w:ascii="Aptos" w:hAnsi="Aptos"/>
                <w:b w:val="0"/>
                <w:sz w:val="18"/>
              </w:rPr>
              <w:t>The direction of the input rotation: RX, RY, or RZ.</w:t>
            </w:r>
          </w:p>
        </w:tc>
        <w:tc>
          <w:tcPr>
            <w:tcW w:type="dxa" w:w="3312"/>
            <w:vAlign w:val="center"/>
            <w:shd w:fill="F1F5F9"/>
          </w:tcPr>
          <w:p>
            <w:pPr>
              <w:spacing w:after="40"/>
            </w:pPr>
            <w:r/>
            <w:r>
              <w:rPr>
                <w:rFonts w:ascii="Aptos" w:hAnsi="Aptos"/>
                <w:b w:val="0"/>
                <w:sz w:val="18"/>
              </w:rPr>
              <w:t>Changes how an input number is written into a qubit state.</w:t>
            </w:r>
          </w:p>
        </w:tc>
      </w:tr>
      <w:tr>
        <w:trPr>
          <w:cantSplit/>
        </w:trPr>
        <w:tc>
          <w:tcPr>
            <w:tcW w:type="dxa" w:w="3312"/>
            <w:vAlign w:val="center"/>
          </w:tcPr>
          <w:p>
            <w:pPr>
              <w:spacing w:after="40"/>
            </w:pPr>
            <w:r/>
            <w:r>
              <w:rPr>
                <w:rFonts w:ascii="Aptos" w:hAnsi="Aptos"/>
                <w:b w:val="0"/>
                <w:sz w:val="18"/>
              </w:rPr>
              <w:t>Entanglement</w:t>
            </w:r>
          </w:p>
        </w:tc>
        <w:tc>
          <w:tcPr>
            <w:tcW w:type="dxa" w:w="3312"/>
            <w:vAlign w:val="center"/>
          </w:tcPr>
          <w:p>
            <w:pPr>
              <w:spacing w:after="40"/>
            </w:pPr>
            <w:r/>
            <w:r>
              <w:rPr>
                <w:rFonts w:ascii="Aptos" w:hAnsi="Aptos"/>
                <w:b w:val="0"/>
                <w:sz w:val="18"/>
              </w:rPr>
              <w:t>How qubits are connected: none, linear, or ring.</w:t>
            </w:r>
          </w:p>
        </w:tc>
        <w:tc>
          <w:tcPr>
            <w:tcW w:type="dxa" w:w="3312"/>
            <w:vAlign w:val="center"/>
          </w:tcPr>
          <w:p>
            <w:pPr>
              <w:spacing w:after="40"/>
            </w:pPr>
            <w:r/>
            <w:r>
              <w:rPr>
                <w:rFonts w:ascii="Aptos" w:hAnsi="Aptos"/>
                <w:b w:val="0"/>
                <w:sz w:val="18"/>
              </w:rPr>
              <w:t>Connections let qubits influence one another and can represent richer patterns.</w:t>
            </w:r>
          </w:p>
        </w:tc>
      </w:tr>
      <w:tr>
        <w:trPr>
          <w:cantSplit/>
        </w:trPr>
        <w:tc>
          <w:tcPr>
            <w:tcW w:type="dxa" w:w="3312"/>
            <w:vAlign w:val="center"/>
            <w:shd w:fill="F1F5F9"/>
          </w:tcPr>
          <w:p>
            <w:pPr>
              <w:spacing w:after="40"/>
            </w:pPr>
            <w:r/>
            <w:r>
              <w:rPr>
                <w:rFonts w:ascii="Aptos" w:hAnsi="Aptos"/>
                <w:b w:val="0"/>
                <w:sz w:val="18"/>
              </w:rPr>
              <w:t>Hidden units</w:t>
            </w:r>
          </w:p>
        </w:tc>
        <w:tc>
          <w:tcPr>
            <w:tcW w:type="dxa" w:w="3312"/>
            <w:vAlign w:val="center"/>
            <w:shd w:fill="F1F5F9"/>
          </w:tcPr>
          <w:p>
            <w:pPr>
              <w:spacing w:after="40"/>
            </w:pPr>
            <w:r/>
            <w:r>
              <w:rPr>
                <w:rFonts w:ascii="Aptos" w:hAnsi="Aptos"/>
                <w:b w:val="0"/>
                <w:sz w:val="18"/>
              </w:rPr>
              <w:t>Width of the hybrid model’s classical layer.</w:t>
            </w:r>
          </w:p>
        </w:tc>
        <w:tc>
          <w:tcPr>
            <w:tcW w:type="dxa" w:w="3312"/>
            <w:vAlign w:val="center"/>
            <w:shd w:fill="F1F5F9"/>
          </w:tcPr>
          <w:p>
            <w:pPr>
              <w:spacing w:after="40"/>
            </w:pPr>
            <w:r/>
            <w:r>
              <w:rPr>
                <w:rFonts w:ascii="Aptos" w:hAnsi="Aptos"/>
                <w:b w:val="0"/>
                <w:sz w:val="18"/>
              </w:rPr>
              <w:t>Only shown for Hybrid QNN; controls how many transformed values are sent to the circuit.</w:t>
            </w:r>
          </w:p>
        </w:tc>
      </w:tr>
      <w:tr>
        <w:trPr>
          <w:cantSplit/>
        </w:trPr>
        <w:tc>
          <w:tcPr>
            <w:tcW w:type="dxa" w:w="3312"/>
            <w:vAlign w:val="center"/>
          </w:tcPr>
          <w:p>
            <w:pPr>
              <w:spacing w:after="40"/>
            </w:pPr>
            <w:r/>
            <w:r>
              <w:rPr>
                <w:rFonts w:ascii="Aptos" w:hAnsi="Aptos"/>
                <w:b w:val="0"/>
                <w:sz w:val="18"/>
              </w:rPr>
              <w:t>Epochs</w:t>
            </w:r>
          </w:p>
        </w:tc>
        <w:tc>
          <w:tcPr>
            <w:tcW w:type="dxa" w:w="3312"/>
            <w:vAlign w:val="center"/>
          </w:tcPr>
          <w:p>
            <w:pPr>
              <w:spacing w:after="40"/>
            </w:pPr>
            <w:r/>
            <w:r>
              <w:rPr>
                <w:rFonts w:ascii="Aptos" w:hAnsi="Aptos"/>
                <w:b w:val="0"/>
                <w:sz w:val="18"/>
              </w:rPr>
              <w:t>How many study rounds to do.</w:t>
            </w:r>
          </w:p>
        </w:tc>
        <w:tc>
          <w:tcPr>
            <w:tcW w:type="dxa" w:w="3312"/>
            <w:vAlign w:val="center"/>
          </w:tcPr>
          <w:p>
            <w:pPr>
              <w:spacing w:after="40"/>
            </w:pPr>
            <w:r/>
            <w:r>
              <w:rPr>
                <w:rFonts w:ascii="Aptos" w:hAnsi="Aptos"/>
                <w:b w:val="0"/>
                <w:sz w:val="18"/>
              </w:rPr>
              <w:t>More epochs give iterative models more chances to adjust their parameters.</w:t>
            </w:r>
          </w:p>
        </w:tc>
      </w:tr>
      <w:tr>
        <w:trPr>
          <w:cantSplit/>
        </w:trPr>
        <w:tc>
          <w:tcPr>
            <w:tcW w:type="dxa" w:w="3312"/>
            <w:vAlign w:val="center"/>
            <w:shd w:fill="F1F5F9"/>
          </w:tcPr>
          <w:p>
            <w:pPr>
              <w:spacing w:after="40"/>
            </w:pPr>
            <w:r/>
            <w:r>
              <w:rPr>
                <w:rFonts w:ascii="Aptos" w:hAnsi="Aptos"/>
                <w:b w:val="0"/>
                <w:sz w:val="18"/>
              </w:rPr>
              <w:t>Batch size</w:t>
            </w:r>
          </w:p>
        </w:tc>
        <w:tc>
          <w:tcPr>
            <w:tcW w:type="dxa" w:w="3312"/>
            <w:vAlign w:val="center"/>
            <w:shd w:fill="F1F5F9"/>
          </w:tcPr>
          <w:p>
            <w:pPr>
              <w:spacing w:after="40"/>
            </w:pPr>
            <w:r/>
            <w:r>
              <w:rPr>
                <w:rFonts w:ascii="Aptos" w:hAnsi="Aptos"/>
                <w:b w:val="0"/>
                <w:sz w:val="18"/>
              </w:rPr>
              <w:t>How many examples to use before one update.</w:t>
            </w:r>
          </w:p>
        </w:tc>
        <w:tc>
          <w:tcPr>
            <w:tcW w:type="dxa" w:w="3312"/>
            <w:vAlign w:val="center"/>
            <w:shd w:fill="F1F5F9"/>
          </w:tcPr>
          <w:p>
            <w:pPr>
              <w:spacing w:after="40"/>
            </w:pPr>
            <w:r/>
            <w:r>
              <w:rPr>
                <w:rFonts w:ascii="Aptos" w:hAnsi="Aptos"/>
                <w:b w:val="0"/>
                <w:sz w:val="18"/>
              </w:rPr>
              <w:t>Smaller batches update more often; larger batches use more examples per update.</w:t>
            </w:r>
          </w:p>
        </w:tc>
      </w:tr>
      <w:tr>
        <w:trPr>
          <w:cantSplit/>
        </w:trPr>
        <w:tc>
          <w:tcPr>
            <w:tcW w:type="dxa" w:w="3312"/>
            <w:vAlign w:val="center"/>
          </w:tcPr>
          <w:p>
            <w:pPr>
              <w:spacing w:after="40"/>
            </w:pPr>
            <w:r/>
            <w:r>
              <w:rPr>
                <w:rFonts w:ascii="Aptos" w:hAnsi="Aptos"/>
                <w:b w:val="0"/>
                <w:sz w:val="18"/>
              </w:rPr>
              <w:t>Learning rate</w:t>
            </w:r>
          </w:p>
        </w:tc>
        <w:tc>
          <w:tcPr>
            <w:tcW w:type="dxa" w:w="3312"/>
            <w:vAlign w:val="center"/>
          </w:tcPr>
          <w:p>
            <w:pPr>
              <w:spacing w:after="40"/>
            </w:pPr>
            <w:r/>
            <w:r>
              <w:rPr>
                <w:rFonts w:ascii="Aptos" w:hAnsi="Aptos"/>
                <w:b w:val="0"/>
                <w:sz w:val="18"/>
              </w:rPr>
              <w:t>How large each parameter adjustment is.</w:t>
            </w:r>
          </w:p>
        </w:tc>
        <w:tc>
          <w:tcPr>
            <w:tcW w:type="dxa" w:w="3312"/>
            <w:vAlign w:val="center"/>
          </w:tcPr>
          <w:p>
            <w:pPr>
              <w:spacing w:after="40"/>
            </w:pPr>
            <w:r/>
            <w:r>
              <w:rPr>
                <w:rFonts w:ascii="Aptos" w:hAnsi="Aptos"/>
                <w:b w:val="0"/>
                <w:sz w:val="18"/>
              </w:rPr>
              <w:t>Too large can jump past a good setting; too small can learn slowly.</w:t>
            </w:r>
          </w:p>
        </w:tc>
      </w:tr>
      <w:tr>
        <w:trPr>
          <w:cantSplit/>
        </w:trPr>
        <w:tc>
          <w:tcPr>
            <w:tcW w:type="dxa" w:w="3312"/>
            <w:vAlign w:val="center"/>
            <w:shd w:fill="F1F5F9"/>
          </w:tcPr>
          <w:p>
            <w:pPr>
              <w:spacing w:after="40"/>
            </w:pPr>
            <w:r/>
            <w:r>
              <w:rPr>
                <w:rFonts w:ascii="Aptos" w:hAnsi="Aptos"/>
                <w:b w:val="0"/>
                <w:sz w:val="18"/>
              </w:rPr>
              <w:t>Gradient</w:t>
            </w:r>
          </w:p>
        </w:tc>
        <w:tc>
          <w:tcPr>
            <w:tcW w:type="dxa" w:w="3312"/>
            <w:vAlign w:val="center"/>
            <w:shd w:fill="F1F5F9"/>
          </w:tcPr>
          <w:p>
            <w:pPr>
              <w:spacing w:after="40"/>
            </w:pPr>
            <w:r/>
            <w:r>
              <w:rPr>
                <w:rFonts w:ascii="Aptos" w:hAnsi="Aptos"/>
                <w:b w:val="0"/>
                <w:sz w:val="18"/>
              </w:rPr>
              <w:t>How to estimate which direction improves the model.</w:t>
            </w:r>
          </w:p>
        </w:tc>
        <w:tc>
          <w:tcPr>
            <w:tcW w:type="dxa" w:w="3312"/>
            <w:vAlign w:val="center"/>
            <w:shd w:fill="F1F5F9"/>
          </w:tcPr>
          <w:p>
            <w:pPr>
              <w:spacing w:after="40"/>
            </w:pPr>
            <w:r/>
            <w:r>
              <w:rPr>
                <w:rFonts w:ascii="Aptos" w:hAnsi="Aptos"/>
                <w:b w:val="0"/>
                <w:sz w:val="18"/>
              </w:rPr>
              <w:t>Backprop is fast in the simulator; parameter-shift estimates changes through shifted circuit runs.</w:t>
            </w:r>
          </w:p>
        </w:tc>
      </w:tr>
      <w:tr>
        <w:trPr>
          <w:cantSplit/>
        </w:trPr>
        <w:tc>
          <w:tcPr>
            <w:tcW w:type="dxa" w:w="3312"/>
            <w:vAlign w:val="center"/>
          </w:tcPr>
          <w:p>
            <w:pPr>
              <w:spacing w:after="40"/>
            </w:pPr>
            <w:r/>
            <w:r>
              <w:rPr>
                <w:rFonts w:ascii="Aptos" w:hAnsi="Aptos"/>
                <w:b w:val="0"/>
                <w:sz w:val="18"/>
              </w:rPr>
              <w:t>Seed</w:t>
            </w:r>
          </w:p>
        </w:tc>
        <w:tc>
          <w:tcPr>
            <w:tcW w:type="dxa" w:w="3312"/>
            <w:vAlign w:val="center"/>
          </w:tcPr>
          <w:p>
            <w:pPr>
              <w:spacing w:after="40"/>
            </w:pPr>
            <w:r/>
            <w:r>
              <w:rPr>
                <w:rFonts w:ascii="Aptos" w:hAnsi="Aptos"/>
                <w:b w:val="0"/>
                <w:sz w:val="18"/>
              </w:rPr>
              <w:t>A repeatable starting number for random choices.</w:t>
            </w:r>
          </w:p>
        </w:tc>
        <w:tc>
          <w:tcPr>
            <w:tcW w:type="dxa" w:w="3312"/>
            <w:vAlign w:val="center"/>
          </w:tcPr>
          <w:p>
            <w:pPr>
              <w:spacing w:after="40"/>
            </w:pPr>
            <w:r/>
            <w:r>
              <w:rPr>
                <w:rFonts w:ascii="Aptos" w:hAnsi="Aptos"/>
                <w:b w:val="0"/>
                <w:sz w:val="18"/>
              </w:rPr>
              <w:t>Same seed helps reproduce generated data and initialization.</w:t>
            </w:r>
          </w:p>
        </w:tc>
      </w:tr>
    </w:tbl>
    <w:p>
      <w:pPr>
        <w:spacing w:after="20"/>
      </w:pPr>
    </w:p>
    <w:p>
      <w:r>
        <w:t>Your screenshot’s example: moons, 200 samples, noise 0.15, test fraction 0.3, 2 qubits, 2 layers, RY encoding, ring entanglement, 10 epochs, batch size 16, learning rate 0.1, backprop, and seed 42.</w:t>
      </w:r>
    </w:p>
    <w:p>
      <w:pPr>
        <w:pStyle w:val="Heading1"/>
      </w:pPr>
      <w:r>
        <w:t>3. How a number goes through a quantum circuit</w:t>
      </w:r>
    </w:p>
    <w:p>
      <w:r>
        <w:t>A graph is not loaded into the circuit as a picture. The model processes one example’s numbers at a time. For sine, x is the input and sin(x) is the known answer that training tries to match.</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4968"/>
        <w:gridCol w:w="4968"/>
      </w:tblGrid>
      <w:tr>
        <w:trPr>
          <w:tblHeader w:val="true"/>
        </w:trPr>
        <w:tc>
          <w:tcPr>
            <w:tcW w:type="dxa" w:w="4968"/>
            <w:vAlign w:val="center"/>
            <w:shd w:fill="183A5A"/>
          </w:tcPr>
          <w:p>
            <w:pPr>
              <w:spacing w:after="40"/>
            </w:pPr>
            <w:r/>
            <w:r>
              <w:rPr>
                <w:rFonts w:ascii="Aptos" w:hAnsi="Aptos"/>
                <w:b/>
                <w:color w:val="FFFFFF"/>
                <w:sz w:val="18"/>
              </w:rPr>
              <w:t>Step</w:t>
            </w:r>
          </w:p>
        </w:tc>
        <w:tc>
          <w:tcPr>
            <w:tcW w:type="dxa" w:w="4968"/>
            <w:vAlign w:val="center"/>
            <w:shd w:fill="183A5A"/>
          </w:tcPr>
          <w:p>
            <w:pPr>
              <w:spacing w:after="40"/>
            </w:pPr>
            <w:r/>
            <w:r>
              <w:rPr>
                <w:rFonts w:ascii="Aptos" w:hAnsi="Aptos"/>
                <w:b/>
                <w:color w:val="FFFFFF"/>
                <w:sz w:val="18"/>
              </w:rPr>
              <w:t>What happens</w:t>
            </w:r>
          </w:p>
        </w:tc>
      </w:tr>
      <w:tr>
        <w:trPr>
          <w:cantSplit/>
        </w:trPr>
        <w:tc>
          <w:tcPr>
            <w:tcW w:type="dxa" w:w="4968"/>
            <w:vAlign w:val="center"/>
          </w:tcPr>
          <w:p>
            <w:pPr>
              <w:spacing w:after="40"/>
            </w:pPr>
            <w:r/>
            <w:r>
              <w:rPr>
                <w:rFonts w:ascii="Aptos" w:hAnsi="Aptos"/>
                <w:b w:val="0"/>
                <w:sz w:val="18"/>
              </w:rPr>
              <w:t>1. Prepare</w:t>
            </w:r>
          </w:p>
        </w:tc>
        <w:tc>
          <w:tcPr>
            <w:tcW w:type="dxa" w:w="4968"/>
            <w:vAlign w:val="center"/>
          </w:tcPr>
          <w:p>
            <w:pPr>
              <w:spacing w:after="40"/>
            </w:pPr>
            <w:r/>
            <w:r>
              <w:rPr>
                <w:rFonts w:ascii="Aptos" w:hAnsi="Aptos"/>
                <w:b w:val="0"/>
                <w:sz w:val="18"/>
              </w:rPr>
              <w:t>Scale an input feature into an angle the circuit can use.</w:t>
            </w:r>
          </w:p>
        </w:tc>
      </w:tr>
      <w:tr>
        <w:trPr>
          <w:cantSplit/>
        </w:trPr>
        <w:tc>
          <w:tcPr>
            <w:tcW w:type="dxa" w:w="4968"/>
            <w:vAlign w:val="center"/>
            <w:shd w:fill="F1F5F9"/>
          </w:tcPr>
          <w:p>
            <w:pPr>
              <w:spacing w:after="40"/>
            </w:pPr>
            <w:r/>
            <w:r>
              <w:rPr>
                <w:rFonts w:ascii="Aptos" w:hAnsi="Aptos"/>
                <w:b w:val="0"/>
                <w:sz w:val="18"/>
              </w:rPr>
              <w:t>2. Encode</w:t>
            </w:r>
          </w:p>
        </w:tc>
        <w:tc>
          <w:tcPr>
            <w:tcW w:type="dxa" w:w="4968"/>
            <w:vAlign w:val="center"/>
            <w:shd w:fill="F1F5F9"/>
          </w:tcPr>
          <w:p>
            <w:pPr>
              <w:spacing w:after="40"/>
            </w:pPr>
            <w:r/>
            <w:r>
              <w:rPr>
                <w:rFonts w:ascii="Aptos" w:hAnsi="Aptos"/>
                <w:b w:val="0"/>
                <w:sz w:val="18"/>
              </w:rPr>
              <w:t>Use a rotation gate such as RY(angle) to change a qubit state. Different inputs create different states.</w:t>
            </w:r>
          </w:p>
        </w:tc>
      </w:tr>
      <w:tr>
        <w:trPr>
          <w:cantSplit/>
        </w:trPr>
        <w:tc>
          <w:tcPr>
            <w:tcW w:type="dxa" w:w="4968"/>
            <w:vAlign w:val="center"/>
          </w:tcPr>
          <w:p>
            <w:pPr>
              <w:spacing w:after="40"/>
            </w:pPr>
            <w:r/>
            <w:r>
              <w:rPr>
                <w:rFonts w:ascii="Aptos" w:hAnsi="Aptos"/>
                <w:b w:val="0"/>
                <w:sz w:val="18"/>
              </w:rPr>
              <w:t>3. Process</w:t>
            </w:r>
          </w:p>
        </w:tc>
        <w:tc>
          <w:tcPr>
            <w:tcW w:type="dxa" w:w="4968"/>
            <w:vAlign w:val="center"/>
          </w:tcPr>
          <w:p>
            <w:pPr>
              <w:spacing w:after="40"/>
            </w:pPr>
            <w:r/>
            <w:r>
              <w:rPr>
                <w:rFonts w:ascii="Aptos" w:hAnsi="Aptos"/>
                <w:b w:val="0"/>
                <w:sz w:val="18"/>
              </w:rPr>
              <w:t>Apply trainable rotations and, when selected, entangling gates. Their angles are the model’s adjustable knobs.</w:t>
            </w:r>
          </w:p>
        </w:tc>
      </w:tr>
      <w:tr>
        <w:trPr>
          <w:cantSplit/>
        </w:trPr>
        <w:tc>
          <w:tcPr>
            <w:tcW w:type="dxa" w:w="4968"/>
            <w:vAlign w:val="center"/>
            <w:shd w:fill="F1F5F9"/>
          </w:tcPr>
          <w:p>
            <w:pPr>
              <w:spacing w:after="40"/>
            </w:pPr>
            <w:r/>
            <w:r>
              <w:rPr>
                <w:rFonts w:ascii="Aptos" w:hAnsi="Aptos"/>
                <w:b w:val="0"/>
                <w:sz w:val="18"/>
              </w:rPr>
              <w:t>4. Measure</w:t>
            </w:r>
          </w:p>
        </w:tc>
        <w:tc>
          <w:tcPr>
            <w:tcW w:type="dxa" w:w="4968"/>
            <w:vAlign w:val="center"/>
            <w:shd w:fill="F1F5F9"/>
          </w:tcPr>
          <w:p>
            <w:pPr>
              <w:spacing w:after="40"/>
            </w:pPr>
            <w:r/>
            <w:r>
              <w:rPr>
                <w:rFonts w:ascii="Aptos" w:hAnsi="Aptos"/>
                <w:b w:val="0"/>
                <w:sz w:val="18"/>
              </w:rPr>
              <w:t>Measure qubit 0. The result becomes a class score or a numeric prediction.</w:t>
            </w:r>
          </w:p>
        </w:tc>
      </w:tr>
      <w:tr>
        <w:trPr>
          <w:cantSplit/>
        </w:trPr>
        <w:tc>
          <w:tcPr>
            <w:tcW w:type="dxa" w:w="4968"/>
            <w:vAlign w:val="center"/>
          </w:tcPr>
          <w:p>
            <w:pPr>
              <w:spacing w:after="40"/>
            </w:pPr>
            <w:r/>
            <w:r>
              <w:rPr>
                <w:rFonts w:ascii="Aptos" w:hAnsi="Aptos"/>
                <w:b w:val="0"/>
                <w:sz w:val="18"/>
              </w:rPr>
              <w:t>5. Compare</w:t>
            </w:r>
          </w:p>
        </w:tc>
        <w:tc>
          <w:tcPr>
            <w:tcW w:type="dxa" w:w="4968"/>
            <w:vAlign w:val="center"/>
          </w:tcPr>
          <w:p>
            <w:pPr>
              <w:spacing w:after="40"/>
            </w:pPr>
            <w:r/>
            <w:r>
              <w:rPr>
                <w:rFonts w:ascii="Aptos" w:hAnsi="Aptos"/>
                <w:b w:val="0"/>
                <w:sz w:val="18"/>
              </w:rPr>
              <w:t>Compare the prediction with the known answer: a class label or a target number.</w:t>
            </w:r>
          </w:p>
        </w:tc>
      </w:tr>
      <w:tr>
        <w:trPr>
          <w:cantSplit/>
        </w:trPr>
        <w:tc>
          <w:tcPr>
            <w:tcW w:type="dxa" w:w="4968"/>
            <w:vAlign w:val="center"/>
            <w:shd w:fill="F1F5F9"/>
          </w:tcPr>
          <w:p>
            <w:pPr>
              <w:spacing w:after="40"/>
            </w:pPr>
            <w:r/>
            <w:r>
              <w:rPr>
                <w:rFonts w:ascii="Aptos" w:hAnsi="Aptos"/>
                <w:b w:val="0"/>
                <w:sz w:val="18"/>
              </w:rPr>
              <w:t>6. Adjust and repeat</w:t>
            </w:r>
          </w:p>
        </w:tc>
        <w:tc>
          <w:tcPr>
            <w:tcW w:type="dxa" w:w="4968"/>
            <w:vAlign w:val="center"/>
            <w:shd w:fill="F1F5F9"/>
          </w:tcPr>
          <w:p>
            <w:pPr>
              <w:spacing w:after="40"/>
            </w:pPr>
            <w:r/>
            <w:r>
              <w:rPr>
                <w:rFonts w:ascii="Aptos" w:hAnsi="Aptos"/>
                <w:b w:val="0"/>
                <w:sz w:val="18"/>
              </w:rPr>
              <w:t>For iterative models, adjust gate angles to reduce error, then practice again.</w:t>
            </w:r>
          </w:p>
        </w:tc>
      </w:tr>
    </w:tbl>
    <w:p>
      <w:pPr>
        <w:spacing w:after="20"/>
      </w:pPr>
    </w:p>
    <w:p>
      <w:r>
        <w:t>For a sine example, the circuit receives encoded x, makes a prediction, and compares that prediction with sin(x). After many examples, it may learn a pattern that follows the curve. For moons, it learns scores that separate the two groups of dots.</w:t>
      </w:r>
    </w:p>
    <w:p>
      <w:r>
        <w:t>The simulator represents quantum states and gate operations mathematically on an ordinary computer. It is useful for learning circuit behavior; it is not the same as running on a physical quantum chip.</w:t>
      </w:r>
    </w:p>
    <w:p>
      <w:pPr>
        <w:pStyle w:val="Heading1"/>
      </w:pPr>
      <w:r>
        <w:t>4. The four algorithms</w:t>
      </w:r>
    </w:p>
    <w:p>
      <w:pPr>
        <w:pStyle w:val="Heading2"/>
      </w:pPr>
      <w:r>
        <w:t>Variational classifier (VQC)</w:t>
      </w:r>
    </w:p>
    <w:p>
      <w:r>
        <w:t>This is the direct trainable-circuit classifier. It encodes an example, applies adjustable quantum gates, and measures qubit 0 to get a class score. Training changes the gate angles over repeated epochs so the score agrees better with the known class. It is the clearest starting point for learning how a quantum circuit can act as a classifier.</w:t>
      </w:r>
    </w:p>
    <w:p>
      <w:pPr>
        <w:pStyle w:val="Heading2"/>
      </w:pPr>
      <w:r>
        <w:t>Hybrid QNN</w:t>
      </w:r>
    </w:p>
    <w:p>
      <w:r>
        <w:t>This is also a classifier. A small classical layer first transforms input values, then the quantum circuit processes those transformed values. Training adjusts both the classical layer and quantum gates together. Compared with VQC, it can learn a useful input transformation before the quantum part sees the data.</w:t>
      </w:r>
    </w:p>
    <w:p>
      <w:pPr>
        <w:pStyle w:val="Heading2"/>
      </w:pPr>
      <w:r>
        <w:t>Quantum kernel (LSSVM)</w:t>
      </w:r>
    </w:p>
    <w:p>
      <w:r>
        <w:t>This classifier uses the circuit to compare pairs of examples. Each comparison measures how similar their encoded quantum states are. The model builds a similarity table, then a classical least-squares support vector machine (LSSVM) uses it to classify. It solves a linear system once instead of adjusting circuit parameters over epochs. Pair comparisons grow roughly with the square of sample count, so the lab limits dataset size.</w:t>
      </w:r>
    </w:p>
    <w:p>
      <w:pPr>
        <w:pStyle w:val="Heading2"/>
      </w:pPr>
      <w:r>
        <w:t>Quantum regression</w:t>
      </w:r>
    </w:p>
    <w:p>
      <w:r>
        <w:t>This model predicts a number, not a class. It encodes the input, applies trainable circuit layers, and uses a qubit measurement as a continuous output. Training adjusts the gates so predictions get closer to target numbers. It re-encodes data between layers by default, a technique called data re-uploading that helps represent more varied curves.</w:t>
      </w:r>
    </w:p>
    <w:p>
      <w:pPr>
        <w:pStyle w:val="Heading1"/>
      </w:pPr>
      <w:r>
        <w:t>5. Compare the models</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484"/>
        <w:gridCol w:w="2484"/>
        <w:gridCol w:w="2484"/>
        <w:gridCol w:w="2484"/>
      </w:tblGrid>
      <w:tr>
        <w:trPr>
          <w:tblHeader w:val="true"/>
        </w:trPr>
        <w:tc>
          <w:tcPr>
            <w:tcW w:type="dxa" w:w="2484"/>
            <w:vAlign w:val="center"/>
            <w:shd w:fill="183A5A"/>
          </w:tcPr>
          <w:p>
            <w:pPr>
              <w:spacing w:after="40"/>
            </w:pPr>
            <w:r/>
            <w:r>
              <w:rPr>
                <w:rFonts w:ascii="Aptos" w:hAnsi="Aptos"/>
                <w:b/>
                <w:color w:val="FFFFFF"/>
                <w:sz w:val="18"/>
              </w:rPr>
              <w:t>Model</w:t>
            </w:r>
          </w:p>
        </w:tc>
        <w:tc>
          <w:tcPr>
            <w:tcW w:type="dxa" w:w="2484"/>
            <w:vAlign w:val="center"/>
            <w:shd w:fill="183A5A"/>
          </w:tcPr>
          <w:p>
            <w:pPr>
              <w:spacing w:after="40"/>
            </w:pPr>
            <w:r/>
            <w:r>
              <w:rPr>
                <w:rFonts w:ascii="Aptos" w:hAnsi="Aptos"/>
                <w:b/>
                <w:color w:val="FFFFFF"/>
                <w:sz w:val="18"/>
              </w:rPr>
              <w:t>Predicts</w:t>
            </w:r>
          </w:p>
        </w:tc>
        <w:tc>
          <w:tcPr>
            <w:tcW w:type="dxa" w:w="2484"/>
            <w:vAlign w:val="center"/>
            <w:shd w:fill="183A5A"/>
          </w:tcPr>
          <w:p>
            <w:pPr>
              <w:spacing w:after="40"/>
            </w:pPr>
            <w:r/>
            <w:r>
              <w:rPr>
                <w:rFonts w:ascii="Aptos" w:hAnsi="Aptos"/>
                <w:b/>
                <w:color w:val="FFFFFF"/>
                <w:sz w:val="18"/>
              </w:rPr>
              <w:t>Circuit’s role</w:t>
            </w:r>
          </w:p>
        </w:tc>
        <w:tc>
          <w:tcPr>
            <w:tcW w:type="dxa" w:w="2484"/>
            <w:vAlign w:val="center"/>
            <w:shd w:fill="183A5A"/>
          </w:tcPr>
          <w:p>
            <w:pPr>
              <w:spacing w:after="40"/>
            </w:pPr>
            <w:r/>
            <w:r>
              <w:rPr>
                <w:rFonts w:ascii="Aptos" w:hAnsi="Aptos"/>
                <w:b/>
                <w:color w:val="FFFFFF"/>
                <w:sz w:val="18"/>
              </w:rPr>
              <w:t>How it learns</w:t>
            </w:r>
          </w:p>
        </w:tc>
      </w:tr>
      <w:tr>
        <w:trPr>
          <w:cantSplit/>
        </w:trPr>
        <w:tc>
          <w:tcPr>
            <w:tcW w:type="dxa" w:w="2484"/>
            <w:vAlign w:val="center"/>
          </w:tcPr>
          <w:p>
            <w:pPr>
              <w:spacing w:after="40"/>
            </w:pPr>
            <w:r/>
            <w:r>
              <w:rPr>
                <w:rFonts w:ascii="Aptos" w:hAnsi="Aptos"/>
                <w:b w:val="0"/>
                <w:sz w:val="18"/>
              </w:rPr>
              <w:t>VQC</w:t>
            </w:r>
          </w:p>
        </w:tc>
        <w:tc>
          <w:tcPr>
            <w:tcW w:type="dxa" w:w="2484"/>
            <w:vAlign w:val="center"/>
          </w:tcPr>
          <w:p>
            <w:pPr>
              <w:spacing w:after="40"/>
            </w:pPr>
            <w:r/>
            <w:r>
              <w:rPr>
                <w:rFonts w:ascii="Aptos" w:hAnsi="Aptos"/>
                <w:b w:val="0"/>
                <w:sz w:val="18"/>
              </w:rPr>
              <w:t>A class</w:t>
            </w:r>
          </w:p>
        </w:tc>
        <w:tc>
          <w:tcPr>
            <w:tcW w:type="dxa" w:w="2484"/>
            <w:vAlign w:val="center"/>
          </w:tcPr>
          <w:p>
            <w:pPr>
              <w:spacing w:after="40"/>
            </w:pPr>
            <w:r/>
            <w:r>
              <w:rPr>
                <w:rFonts w:ascii="Aptos" w:hAnsi="Aptos"/>
                <w:b w:val="0"/>
                <w:sz w:val="18"/>
              </w:rPr>
              <w:t>Trainable circuit processes input features.</w:t>
            </w:r>
          </w:p>
        </w:tc>
        <w:tc>
          <w:tcPr>
            <w:tcW w:type="dxa" w:w="2484"/>
            <w:vAlign w:val="center"/>
          </w:tcPr>
          <w:p>
            <w:pPr>
              <w:spacing w:after="40"/>
            </w:pPr>
            <w:r/>
            <w:r>
              <w:rPr>
                <w:rFonts w:ascii="Aptos" w:hAnsi="Aptos"/>
                <w:b w:val="0"/>
                <w:sz w:val="18"/>
              </w:rPr>
              <w:t>Repeatedly adjusts quantum gate angles.</w:t>
            </w:r>
          </w:p>
        </w:tc>
      </w:tr>
      <w:tr>
        <w:trPr>
          <w:cantSplit/>
        </w:trPr>
        <w:tc>
          <w:tcPr>
            <w:tcW w:type="dxa" w:w="2484"/>
            <w:vAlign w:val="center"/>
            <w:shd w:fill="F1F5F9"/>
          </w:tcPr>
          <w:p>
            <w:pPr>
              <w:spacing w:after="40"/>
            </w:pPr>
            <w:r/>
            <w:r>
              <w:rPr>
                <w:rFonts w:ascii="Aptos" w:hAnsi="Aptos"/>
                <w:b w:val="0"/>
                <w:sz w:val="18"/>
              </w:rPr>
              <w:t>Hybrid QNN</w:t>
            </w:r>
          </w:p>
        </w:tc>
        <w:tc>
          <w:tcPr>
            <w:tcW w:type="dxa" w:w="2484"/>
            <w:vAlign w:val="center"/>
            <w:shd w:fill="F1F5F9"/>
          </w:tcPr>
          <w:p>
            <w:pPr>
              <w:spacing w:after="40"/>
            </w:pPr>
            <w:r/>
            <w:r>
              <w:rPr>
                <w:rFonts w:ascii="Aptos" w:hAnsi="Aptos"/>
                <w:b w:val="0"/>
                <w:sz w:val="18"/>
              </w:rPr>
              <w:t>A class</w:t>
            </w:r>
          </w:p>
        </w:tc>
        <w:tc>
          <w:tcPr>
            <w:tcW w:type="dxa" w:w="2484"/>
            <w:vAlign w:val="center"/>
            <w:shd w:fill="F1F5F9"/>
          </w:tcPr>
          <w:p>
            <w:pPr>
              <w:spacing w:after="40"/>
            </w:pPr>
            <w:r/>
            <w:r>
              <w:rPr>
                <w:rFonts w:ascii="Aptos" w:hAnsi="Aptos"/>
                <w:b w:val="0"/>
                <w:sz w:val="18"/>
              </w:rPr>
              <w:t>Processes features first transformed by a classical layer.</w:t>
            </w:r>
          </w:p>
        </w:tc>
        <w:tc>
          <w:tcPr>
            <w:tcW w:type="dxa" w:w="2484"/>
            <w:vAlign w:val="center"/>
            <w:shd w:fill="F1F5F9"/>
          </w:tcPr>
          <w:p>
            <w:pPr>
              <w:spacing w:after="40"/>
            </w:pPr>
            <w:r/>
            <w:r>
              <w:rPr>
                <w:rFonts w:ascii="Aptos" w:hAnsi="Aptos"/>
                <w:b w:val="0"/>
                <w:sz w:val="18"/>
              </w:rPr>
              <w:t>Adjusts classical weights and quantum gate angles together.</w:t>
            </w:r>
          </w:p>
        </w:tc>
      </w:tr>
      <w:tr>
        <w:trPr>
          <w:cantSplit/>
        </w:trPr>
        <w:tc>
          <w:tcPr>
            <w:tcW w:type="dxa" w:w="2484"/>
            <w:vAlign w:val="center"/>
          </w:tcPr>
          <w:p>
            <w:pPr>
              <w:spacing w:after="40"/>
            </w:pPr>
            <w:r/>
            <w:r>
              <w:rPr>
                <w:rFonts w:ascii="Aptos" w:hAnsi="Aptos"/>
                <w:b w:val="0"/>
                <w:sz w:val="18"/>
              </w:rPr>
              <w:t>Quantum kernel (LSSVM)</w:t>
            </w:r>
          </w:p>
        </w:tc>
        <w:tc>
          <w:tcPr>
            <w:tcW w:type="dxa" w:w="2484"/>
            <w:vAlign w:val="center"/>
          </w:tcPr>
          <w:p>
            <w:pPr>
              <w:spacing w:after="40"/>
            </w:pPr>
            <w:r/>
            <w:r>
              <w:rPr>
                <w:rFonts w:ascii="Aptos" w:hAnsi="Aptos"/>
                <w:b w:val="0"/>
                <w:sz w:val="18"/>
              </w:rPr>
              <w:t>A class</w:t>
            </w:r>
          </w:p>
        </w:tc>
        <w:tc>
          <w:tcPr>
            <w:tcW w:type="dxa" w:w="2484"/>
            <w:vAlign w:val="center"/>
          </w:tcPr>
          <w:p>
            <w:pPr>
              <w:spacing w:after="40"/>
            </w:pPr>
            <w:r/>
            <w:r>
              <w:rPr>
                <w:rFonts w:ascii="Aptos" w:hAnsi="Aptos"/>
                <w:b w:val="0"/>
                <w:sz w:val="18"/>
              </w:rPr>
              <w:t>Measures similarities between pairs of examples.</w:t>
            </w:r>
          </w:p>
        </w:tc>
        <w:tc>
          <w:tcPr>
            <w:tcW w:type="dxa" w:w="2484"/>
            <w:vAlign w:val="center"/>
          </w:tcPr>
          <w:p>
            <w:pPr>
              <w:spacing w:after="40"/>
            </w:pPr>
            <w:r/>
            <w:r>
              <w:rPr>
                <w:rFonts w:ascii="Aptos" w:hAnsi="Aptos"/>
                <w:b w:val="0"/>
                <w:sz w:val="18"/>
              </w:rPr>
              <w:t>Builds a similarity table; classical solver fits the classifier.</w:t>
            </w:r>
          </w:p>
        </w:tc>
      </w:tr>
      <w:tr>
        <w:trPr>
          <w:cantSplit/>
        </w:trPr>
        <w:tc>
          <w:tcPr>
            <w:tcW w:type="dxa" w:w="2484"/>
            <w:vAlign w:val="center"/>
            <w:shd w:fill="F1F5F9"/>
          </w:tcPr>
          <w:p>
            <w:pPr>
              <w:spacing w:after="40"/>
            </w:pPr>
            <w:r/>
            <w:r>
              <w:rPr>
                <w:rFonts w:ascii="Aptos" w:hAnsi="Aptos"/>
                <w:b w:val="0"/>
                <w:sz w:val="18"/>
              </w:rPr>
              <w:t>Quantum regression</w:t>
            </w:r>
          </w:p>
        </w:tc>
        <w:tc>
          <w:tcPr>
            <w:tcW w:type="dxa" w:w="2484"/>
            <w:vAlign w:val="center"/>
            <w:shd w:fill="F1F5F9"/>
          </w:tcPr>
          <w:p>
            <w:pPr>
              <w:spacing w:after="40"/>
            </w:pPr>
            <w:r/>
            <w:r>
              <w:rPr>
                <w:rFonts w:ascii="Aptos" w:hAnsi="Aptos"/>
                <w:b w:val="0"/>
                <w:sz w:val="18"/>
              </w:rPr>
              <w:t>A number</w:t>
            </w:r>
          </w:p>
        </w:tc>
        <w:tc>
          <w:tcPr>
            <w:tcW w:type="dxa" w:w="2484"/>
            <w:vAlign w:val="center"/>
            <w:shd w:fill="F1F5F9"/>
          </w:tcPr>
          <w:p>
            <w:pPr>
              <w:spacing w:after="40"/>
            </w:pPr>
            <w:r/>
            <w:r>
              <w:rPr>
                <w:rFonts w:ascii="Aptos" w:hAnsi="Aptos"/>
                <w:b w:val="0"/>
                <w:sz w:val="18"/>
              </w:rPr>
              <w:t>Produces a continuous output from encoded features.</w:t>
            </w:r>
          </w:p>
        </w:tc>
        <w:tc>
          <w:tcPr>
            <w:tcW w:type="dxa" w:w="2484"/>
            <w:vAlign w:val="center"/>
            <w:shd w:fill="F1F5F9"/>
          </w:tcPr>
          <w:p>
            <w:pPr>
              <w:spacing w:after="40"/>
            </w:pPr>
            <w:r/>
            <w:r>
              <w:rPr>
                <w:rFonts w:ascii="Aptos" w:hAnsi="Aptos"/>
                <w:b w:val="0"/>
                <w:sz w:val="18"/>
              </w:rPr>
              <w:t>Adjusts gate angles to reduce numeric prediction error.</w:t>
            </w:r>
          </w:p>
        </w:tc>
      </w:tr>
    </w:tbl>
    <w:p>
      <w:pPr>
        <w:spacing w:after="20"/>
      </w:pPr>
    </w:p>
    <w:p>
      <w:r>
        <w:t>Memory trick: VQC = quantum circuit sorts; Hybrid = classical prep plus quantum sorting; Kernel = quantum comparisons plus classical sorting; Regression = quantum circuit estimates a number.</w:t>
      </w:r>
    </w:p>
    <w:p>
      <w:pPr>
        <w:pStyle w:val="Heading1"/>
      </w:pPr>
      <w:r>
        <w:t>6. How this connects to real life</w:t>
      </w:r>
    </w:p>
    <w:p>
      <w:r>
        <w:t>Researchers explore quantum machine learning for scientific pattern-finding, molecular and materials research, and learning about or controlling quantum systems. These are active research directions, not a promise that a quantum model will automatically improve an application. The lab’s small practice datasets teach the workflow; success on them does not prove real-world advantage.</w:t>
      </w:r>
    </w:p>
    <w:p>
      <w:r>
        <w:t>This QML lab uses PennyLane’s default.qubit simulator. Compare its results with the classical baseline shown by the application, and treat the comparison as an experiment. Practical quantum advantage for machine learning remains an open research question.</w:t>
      </w:r>
    </w:p>
    <w:p>
      <w:pPr>
        <w:pStyle w:val="Heading1"/>
      </w:pPr>
      <w:r>
        <w:t>7. A simple first experiment</w:t>
      </w:r>
    </w:p>
    <w:p>
      <w:pPr>
        <w:pStyle w:val="ListNumber"/>
        <w:spacing w:after="80"/>
      </w:pPr>
      <w:r>
        <w:t>Choose moons and Variational classifier. Keep the other settings fixed and run it.</w:t>
      </w:r>
    </w:p>
    <w:p>
      <w:pPr>
        <w:pStyle w:val="ListNumber"/>
        <w:spacing w:after="80"/>
      </w:pPr>
      <w:r>
        <w:t>Look at test results: this is the model’s quiz score on examples it did not practice on.</w:t>
      </w:r>
    </w:p>
    <w:p>
      <w:pPr>
        <w:pStyle w:val="ListNumber"/>
        <w:spacing w:after="80"/>
      </w:pPr>
      <w:r>
        <w:t>Switch only the model to Hybrid QNN and run again. This shows what the classical preparation layer changes.</w:t>
      </w:r>
    </w:p>
    <w:p>
      <w:pPr>
        <w:pStyle w:val="ListNumber"/>
        <w:spacing w:after="80"/>
      </w:pPr>
      <w:r>
        <w:t>Try Quantum kernel to see pair comparison. Notice it has no epochs or learning-rate setting.</w:t>
      </w:r>
    </w:p>
    <w:p>
      <w:pPr>
        <w:pStyle w:val="ListNumber"/>
        <w:spacing w:after="80"/>
      </w:pPr>
      <w:r>
        <w:t>Choose sine and Quantum regression to see the model predict a number instead of a category.</w:t>
      </w:r>
    </w:p>
    <w:p>
      <w:pPr>
        <w:pStyle w:val="Heading1"/>
      </w:pPr>
      <w:r>
        <w:t>One sentence to remember</w:t>
      </w:r>
    </w:p>
    <w:p>
      <w:r>
        <w:t>The dataset supplies examples and answers; the algorithm chooses how to learn; the circuit turns numbers into qubit states, processes them with gates, and measures a result; training adjusts the model to make better predictions.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787"/>
        <w:sz w:val="16"/>
      </w:rPr>
      <w:t xml:space="preserve">Quantum ML Lab  |  Beginner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1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Machine Learning Beginner Guide</dc:title>
  <dc:subject>Beginner explanation of QML Lab datasets, settings, circuit workflow, and algorithms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