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F2328"/>
          <w:sz w:val="52"/>
        </w:rPr>
        <w:t>Sales Analytics Project Report</w:t>
      </w:r>
    </w:p>
    <w:p>
      <w:pPr>
        <w:spacing w:after="80"/>
        <w:jc w:val="center"/>
      </w:pPr>
      <w:r>
        <w:rPr>
          <w:color w:val="57606A"/>
          <w:sz w:val="22"/>
        </w:rPr>
        <w:t>Dataset: Sales_transactions_2022_2025.csv  |  Period: 2022–2025  |  Transactions: 18,045</w:t>
      </w:r>
    </w:p>
    <w:p>
      <w:pPr>
        <w:spacing w:after="1200"/>
        <w:jc w:val="center"/>
      </w:pPr>
      <w:r>
        <w:rPr>
          <w:i/>
          <w:color w:val="57606A"/>
          <w:sz w:val="20"/>
        </w:rPr>
        <w:t>Built with Python · Pandas · Matplotlib · Seaborn · Streamlit</w:t>
      </w:r>
    </w:p>
    <w:p>
      <w:r>
        <w:br w:type="page"/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1. Executive Summary</w:t>
      </w:r>
    </w:p>
    <w:p>
      <w:pPr>
        <w:spacing w:after="120"/>
      </w:pPr>
      <w:r>
        <w:rPr>
          <w:color w:val="1F2328"/>
          <w:sz w:val="22"/>
        </w:rPr>
        <w:t>This report presents a comprehensive end-to-end sales data analysis of 18,045 transactions recorded between 2022 and 2025 across 6 countries, 4 sales channels, and 4 product categories. The analysis covers data quality assessment, total sales calculation, multi-dimensional grouping, 12 visualisations, and 8 actionable business recommendations.</w:t>
      </w:r>
    </w:p>
    <w:p>
      <w:pPr>
        <w:spacing w:before="200" w:after="80"/>
      </w:pPr>
      <w:r>
        <w:rPr>
          <w:b/>
          <w:color w:val="1F2328"/>
          <w:sz w:val="24"/>
        </w:rPr>
        <w:t>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Revenue</w:t>
            </w:r>
          </w:p>
        </w:tc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Orders</w:t>
            </w:r>
          </w:p>
        </w:tc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Order Value</w:t>
            </w:r>
          </w:p>
        </w:tc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Units Sold</w:t>
            </w:r>
          </w:p>
        </w:tc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Return Rate</w:t>
            </w:r>
          </w:p>
        </w:tc>
        <w:tc>
          <w:tcPr>
            <w:tcW w:type="dxa" w:w="156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Rating</w:t>
            </w:r>
          </w:p>
        </w:tc>
      </w:tr>
      <w:tr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$8,796,912</w:t>
            </w:r>
          </w:p>
        </w:tc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18,000</w:t>
            </w:r>
          </w:p>
        </w:tc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$487.50</w:t>
            </w:r>
          </w:p>
        </w:tc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38,384</w:t>
            </w:r>
          </w:p>
        </w:tc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10.4%</w:t>
            </w:r>
          </w:p>
        </w:tc>
        <w:tc>
          <w:tcPr>
            <w:tcW w:type="dxa" w:w="1568"/>
            <w:shd w:val="clear" w:color="auto" w:fill="f7f8fa"/>
          </w:tcPr>
          <w:p>
            <w:pPr>
              <w:jc w:val="center"/>
            </w:pPr>
            <w:r>
              <w:rPr>
                <w:b/>
                <w:color w:val="1F2328"/>
                <w:sz w:val="26"/>
              </w:rPr>
              <w:t>3.99 / 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1F2328"/>
          <w:sz w:val="22"/>
        </w:rPr>
        <w:t>Revenue grew steadily from $2.13M in 2022 to $2.45M in 2025, with a temporary dip in 2024 (-5.6% YoY) before recovering strongly in 2025 (+20.1% YoY). The United States is the dominant market, Electronics is the top-revenue category, and the Online channel leads all sales channels.</w:t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2. Dataset Description</w:t>
      </w:r>
    </w:p>
    <w:p>
      <w:pPr>
        <w:spacing w:after="120"/>
      </w:pPr>
      <w:r>
        <w:rPr>
          <w:color w:val="1F2328"/>
          <w:sz w:val="22"/>
        </w:rPr>
        <w:t>The dataset contains 18,045 transaction records with 32 columns covering customer demographics, product details, order metadata, fulfilment, and ratings.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54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File Name</w:t>
            </w:r>
          </w:p>
        </w:tc>
        <w:tc>
          <w:tcPr>
            <w:tcW w:type="dxa" w:w="54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Sales_transactions_2022_2025.csv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Rows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18,045 transactions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Columns</w:t>
            </w:r>
          </w:p>
        </w:tc>
        <w:tc>
          <w:tcPr>
            <w:tcW w:type="dxa" w:w="54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Date Range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2022 – 2025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Countries</w:t>
            </w:r>
          </w:p>
        </w:tc>
        <w:tc>
          <w:tcPr>
            <w:tcW w:type="dxa" w:w="54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USA, UK, Canada, Germany, France, Australia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 Channels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Online, Retail Store, B2B Portal, Phone Order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Product Categories</w:t>
            </w:r>
          </w:p>
        </w:tc>
        <w:tc>
          <w:tcPr>
            <w:tcW w:type="dxa" w:w="54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Electronics, Furniture, Office Supplies, Appliances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Customer Segments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Consumer, Small Business, Returning, Corporate, New, Premium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Key Numeric Columns</w:t>
            </w:r>
          </w:p>
        </w:tc>
        <w:tc>
          <w:tcPr>
            <w:tcW w:type="dxa" w:w="54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Quantity, Unit_Price, Customer_Age, Customer_Rating, Delivery_Days</w:t>
            </w:r>
          </w:p>
        </w:tc>
      </w:tr>
    </w:tbl>
    <w:p>
      <w:pPr>
        <w:spacing w:after="80"/>
      </w:pP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3. Data Quality &amp; Cleaning</w:t>
      </w:r>
    </w:p>
    <w:p>
      <w:pPr>
        <w:spacing w:before="200" w:after="80"/>
      </w:pPr>
      <w:r>
        <w:rPr>
          <w:b/>
          <w:color w:val="1F2328"/>
          <w:sz w:val="24"/>
        </w:rPr>
        <w:t>3.1  Missing Values (Before Cleaning)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Missing Count</w:t>
            </w:r>
          </w:p>
        </w:tc>
        <w:tc>
          <w:tcPr>
            <w:tcW w:type="dxa" w:w="158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Missing %</w:t>
            </w:r>
          </w:p>
        </w:tc>
        <w:tc>
          <w:tcPr>
            <w:tcW w:type="dxa" w:w="302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 Taken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Return_Reason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16,168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89.6%</w:t>
            </w:r>
          </w:p>
        </w:tc>
        <w:tc>
          <w:tcPr>
            <w:tcW w:type="dxa" w:w="302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'N/A' (no return = no reason)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Promotion_Code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9,737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54.0%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'None'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Customer_Rating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3,435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19.0%</w:t>
            </w:r>
          </w:p>
        </w:tc>
        <w:tc>
          <w:tcPr>
            <w:tcW w:type="dxa" w:w="302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column median (3.99)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Customer_Age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218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1.2%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column median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Inventory_Level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198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1.1%</w:t>
            </w:r>
          </w:p>
        </w:tc>
        <w:tc>
          <w:tcPr>
            <w:tcW w:type="dxa" w:w="302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column median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Payment_Method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147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0.8%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'Unknown'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Product_Name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144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0.8%</w:t>
            </w:r>
          </w:p>
        </w:tc>
        <w:tc>
          <w:tcPr>
            <w:tcW w:type="dxa" w:w="302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'Unknown'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Customer_Gender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162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0.9%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'Unknown'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Customer_Name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108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0.6%</w:t>
            </w:r>
          </w:p>
        </w:tc>
        <w:tc>
          <w:tcPr>
            <w:tcW w:type="dxa" w:w="302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'Unknown'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Delivery_Days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162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0.9%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Filled with column median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3.2  Inconsistency Fixes</w:t>
      </w:r>
    </w:p>
    <w:p>
      <w:pPr>
        <w:pStyle w:val="ListBullet"/>
        <w:spacing w:after="60"/>
      </w:pPr>
      <w:r>
        <w:rPr>
          <w:color w:val="1F2328"/>
          <w:sz w:val="21"/>
        </w:rPr>
        <w:t>Order_Status had 8 raw variants (e.g. 'completed', 'SHIPPED') — normalised to 5 Title Case values.</w:t>
      </w:r>
    </w:p>
    <w:p>
      <w:pPr>
        <w:pStyle w:val="ListBullet"/>
        <w:spacing w:after="60"/>
      </w:pPr>
      <w:r>
        <w:rPr>
          <w:color w:val="1F2328"/>
          <w:sz w:val="21"/>
        </w:rPr>
        <w:t>Product_Category had 7 raw variants — normalised to 4 Title Case values.</w:t>
      </w:r>
    </w:p>
    <w:p>
      <w:pPr>
        <w:pStyle w:val="ListBullet"/>
        <w:spacing w:after="60"/>
      </w:pPr>
      <w:r>
        <w:rPr>
          <w:color w:val="1F2328"/>
          <w:sz w:val="21"/>
        </w:rPr>
        <w:t>All categorical text columns standardised via .str.strip().str.title().</w:t>
      </w:r>
    </w:p>
    <w:p>
      <w:pPr>
        <w:spacing w:before="200" w:after="80"/>
      </w:pPr>
      <w:r>
        <w:rPr>
          <w:b/>
          <w:color w:val="1F2328"/>
          <w:sz w:val="24"/>
        </w:rPr>
        <w:t>3.3  Derived Columns</w:t>
      </w:r>
    </w:p>
    <w:p>
      <w:pPr>
        <w:pStyle w:val="ListBullet"/>
        <w:spacing w:after="60"/>
      </w:pPr>
      <w:r>
        <w:rPr>
          <w:color w:val="1F2328"/>
          <w:sz w:val="21"/>
        </w:rPr>
        <w:t>Order_Date parsed with dayfirst=True from DD-MM-YYYY string format.</w:t>
      </w:r>
    </w:p>
    <w:p>
      <w:pPr>
        <w:pStyle w:val="ListBullet"/>
        <w:spacing w:after="60"/>
      </w:pPr>
      <w:r>
        <w:rPr>
          <w:color w:val="1F2328"/>
          <w:sz w:val="21"/>
        </w:rPr>
        <w:t>Order_Month, Order_Month_Name, and Order_Quarter derived from Order_Date.</w:t>
      </w:r>
    </w:p>
    <w:p>
      <w:pPr>
        <w:pStyle w:val="ListBullet"/>
        <w:spacing w:after="60"/>
      </w:pPr>
      <w:r>
        <w:rPr>
          <w:color w:val="1F2328"/>
          <w:sz w:val="21"/>
        </w:rPr>
        <w:t>Total_Sales = Quantity × Unit_Price  (new computed column — see Section 4).</w:t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4. Total Sales Calculation</w:t>
      </w:r>
    </w:p>
    <w:p>
      <w:pPr>
        <w:spacing w:after="120"/>
      </w:pPr>
      <w:r>
        <w:rPr>
          <w:color w:val="1F2328"/>
          <w:sz w:val="22"/>
        </w:rPr>
        <w:t>A new column Total_Sales was computed as the product of Quantity and Unit_Price. This single column drives all revenue aggregations throughout the report.</w:t>
      </w:r>
    </w:p>
    <w:p>
      <w:pPr>
        <w:spacing w:after="160"/>
        <w:ind w:left="576"/>
      </w:pPr>
      <w:r>
        <w:rPr>
          <w:rFonts w:ascii="Courier New" w:hAnsi="Courier New"/>
          <w:b/>
          <w:color w:val="3B82D4"/>
          <w:sz w:val="21"/>
        </w:rPr>
        <w:t xml:space="preserve">    df['Total_Sales'] = df['Quantity'] * df['Unit_Price']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Minimum Transaction Value</w:t>
            </w:r>
          </w:p>
        </w:tc>
        <w:tc>
          <w:tcPr>
            <w:tcW w:type="dxa" w:w="288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$19.81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Maximum Transaction Value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$7,246.08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Mean Transaction Value</w:t>
            </w:r>
          </w:p>
        </w:tc>
        <w:tc>
          <w:tcPr>
            <w:tcW w:type="dxa" w:w="288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$487.50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Median Transaction Value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$424.50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Total Revenue (all years)</w:t>
            </w:r>
          </w:p>
        </w:tc>
        <w:tc>
          <w:tcPr>
            <w:tcW w:type="dxa" w:w="288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$8,796,911.96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Total Units Sold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38,384</w:t>
            </w:r>
          </w:p>
        </w:tc>
      </w:tr>
    </w:tbl>
    <w:p>
      <w:pPr>
        <w:spacing w:after="80"/>
      </w:pP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5. Group &amp; Summarise Analysis</w:t>
      </w:r>
    </w:p>
    <w:p>
      <w:pPr>
        <w:spacing w:before="200" w:after="80"/>
      </w:pPr>
      <w:r>
        <w:rPr>
          <w:b/>
          <w:color w:val="1F2328"/>
          <w:sz w:val="24"/>
        </w:rPr>
        <w:t>5.1  Annual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08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15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216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Order Value</w:t>
            </w:r>
          </w:p>
        </w:tc>
        <w:tc>
          <w:tcPr>
            <w:tcW w:type="dxa" w:w="144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  <w:tc>
          <w:tcPr>
            <w:tcW w:type="dxa" w:w="144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YoY Growth</w:t>
            </w:r>
          </w:p>
        </w:tc>
      </w:tr>
      <w:tr>
        <w:tc>
          <w:tcPr>
            <w:tcW w:type="dxa" w:w="100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2022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$2,132,866</w:t>
            </w:r>
          </w:p>
        </w:tc>
        <w:tc>
          <w:tcPr>
            <w:tcW w:type="dxa" w:w="115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4,097</w:t>
            </w:r>
          </w:p>
        </w:tc>
        <w:tc>
          <w:tcPr>
            <w:tcW w:type="dxa" w:w="216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$520.59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8,826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—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2023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$2,165,451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4,609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$469.83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9,755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+1.53%</w:t>
            </w:r>
          </w:p>
        </w:tc>
      </w:tr>
      <w:tr>
        <w:tc>
          <w:tcPr>
            <w:tcW w:type="dxa" w:w="100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2024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$2,044,237</w:t>
            </w:r>
          </w:p>
        </w:tc>
        <w:tc>
          <w:tcPr>
            <w:tcW w:type="dxa" w:w="115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4,360</w:t>
            </w:r>
          </w:p>
        </w:tc>
        <w:tc>
          <w:tcPr>
            <w:tcW w:type="dxa" w:w="216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$468.86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9,096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-5.60%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2025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$2,454,358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4,979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$492.94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10,707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+20.06%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5.2  By Product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296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158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Sale</w:t>
            </w:r>
          </w:p>
        </w:tc>
        <w:tc>
          <w:tcPr>
            <w:tcW w:type="dxa" w:w="158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Electronics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$5,263,211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8,209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$641.15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18,113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Furniture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$2,118,498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3,311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$639.84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6,308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Office Supplies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$794,081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4,537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$175.02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10,068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Appliances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$621,122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1,988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$312.44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3,895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5.3  By Country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296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158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Sale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United States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$3,744,981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7,544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$496.42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United Kingdom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$1,411,864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2,981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$473.62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Canada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$1,283,322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2,685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$477.96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Germany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$1,033,691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2,132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$484.85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France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$774,147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1,586</w:t>
            </w:r>
          </w:p>
        </w:tc>
        <w:tc>
          <w:tcPr>
            <w:tcW w:type="dxa" w:w="158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$488.11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Australia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$548,906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1,117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$491.41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5.4  By Sales 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296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Revenue Share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Online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$3,314,481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8,211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37.7%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Retail 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$2,613,456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6,237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29.7%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B2B Portal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$2,278,535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2,133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25.9%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Phone Order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$590,440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1,464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6.7%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5.5  By Customer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87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296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144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Rating</w:t>
            </w:r>
          </w:p>
        </w:tc>
      </w:tr>
      <w:tr>
        <w:tc>
          <w:tcPr>
            <w:tcW w:type="dxa" w:w="273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Consumer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$3,910,860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8,039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4.00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Small Business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$1,518,105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3,177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3.99</w:t>
            </w:r>
          </w:p>
        </w:tc>
      </w:tr>
      <w:tr>
        <w:tc>
          <w:tcPr>
            <w:tcW w:type="dxa" w:w="273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Returning Customer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$1,189,094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2,472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3.96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Corporate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$1,024,001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2,103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3.97</w:t>
            </w:r>
          </w:p>
        </w:tc>
      </w:tr>
      <w:tr>
        <w:tc>
          <w:tcPr>
            <w:tcW w:type="dxa" w:w="273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New Customer</w:t>
            </w:r>
          </w:p>
        </w:tc>
        <w:tc>
          <w:tcPr>
            <w:tcW w:type="dxa" w:w="187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$753,566</w:t>
            </w:r>
          </w:p>
        </w:tc>
        <w:tc>
          <w:tcPr>
            <w:tcW w:type="dxa" w:w="1296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1,452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4.00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Premium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$401,287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802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4.01</w:t>
            </w:r>
          </w:p>
        </w:tc>
      </w:tr>
    </w:tbl>
    <w:p>
      <w:pPr>
        <w:spacing w:after="80"/>
      </w:pP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6. Charts &amp; Visualisations</w:t>
      </w:r>
    </w:p>
    <w:p>
      <w:pPr>
        <w:spacing w:after="120"/>
      </w:pPr>
      <w:r>
        <w:rPr>
          <w:color w:val="1F2328"/>
          <w:sz w:val="22"/>
        </w:rPr>
        <w:t>Twelve charts were generated using Matplotlib and Seaborn to communicate the analytical findings visually. Each chart is reproduced below alongside its key insight.</w:t>
      </w:r>
    </w:p>
    <w:p>
      <w:pPr>
        <w:spacing w:before="200" w:after="80"/>
      </w:pPr>
      <w:r>
        <w:rPr>
          <w:b/>
          <w:color w:val="1F2328"/>
          <w:sz w:val="24"/>
        </w:rPr>
        <w:t>Chart 1 — Annual Revenue (2022–2025)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7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an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1: Total revenue grew from $2.13M (2022) to $2.45M (2025), with 2025 recording the highest ever at +20.1% YoY.</w:t>
      </w:r>
    </w:p>
    <w:p>
      <w:pPr>
        <w:spacing w:after="200"/>
      </w:pPr>
      <w:r>
        <w:rPr>
          <w:color w:val="1F2328"/>
          <w:sz w:val="22"/>
        </w:rPr>
        <w:t>Revenue dipped in 2024 before a strong recovery in 2025, driven by increased order volumes (4,979 orders vs 4,097 in 2022).</w:t>
      </w:r>
    </w:p>
    <w:p>
      <w:pPr>
        <w:spacing w:before="200" w:after="80"/>
      </w:pPr>
      <w:r>
        <w:rPr>
          <w:b/>
          <w:color w:val="1F2328"/>
          <w:sz w:val="24"/>
        </w:rPr>
        <w:t>Chart 2 — Revenue by Product Category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4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2: Electronics dominates with $5.26M — 60% of total revenue.</w:t>
      </w:r>
    </w:p>
    <w:p>
      <w:pPr>
        <w:spacing w:after="200"/>
      </w:pPr>
      <w:r>
        <w:rPr>
          <w:color w:val="1F2328"/>
          <w:sz w:val="22"/>
        </w:rPr>
        <w:t>Electronics and Furniture together account for 84% of all revenue. Office Supplies generates the highest order count (4,537) but at a much lower average sale value ($175 vs $641 for Electronics).</w:t>
      </w:r>
    </w:p>
    <w:p>
      <w:pPr>
        <w:spacing w:before="200" w:after="80"/>
      </w:pPr>
      <w:r>
        <w:rPr>
          <w:b/>
          <w:color w:val="1F2328"/>
          <w:sz w:val="24"/>
        </w:rPr>
        <w:t>Chart 3 — Revenue by Country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7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ou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3: United States leads with $3.74M — 43% of global revenue.</w:t>
      </w:r>
    </w:p>
    <w:p>
      <w:pPr>
        <w:spacing w:after="200"/>
      </w:pPr>
      <w:r>
        <w:rPr>
          <w:color w:val="1F2328"/>
          <w:sz w:val="22"/>
        </w:rPr>
        <w:t>The US generates nearly 3× the revenue of the second-ranked UK ($1.41M). Australia is the smallest market at $549K, representing a significant growth opportunity.</w:t>
      </w:r>
    </w:p>
    <w:p>
      <w:pPr>
        <w:spacing w:before="200" w:after="80"/>
      </w:pPr>
      <w:r>
        <w:rPr>
          <w:b/>
          <w:color w:val="1F2328"/>
          <w:sz w:val="24"/>
        </w:rPr>
        <w:t>Chart 4 — Revenue Share by Sales Channel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4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cha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4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4: Online (37.7%) and Retail Store (29.7%) together account for 67% of all revenue.</w:t>
      </w:r>
    </w:p>
    <w:p>
      <w:pPr>
        <w:spacing w:after="200"/>
      </w:pPr>
      <w:r>
        <w:rPr>
          <w:color w:val="1F2328"/>
          <w:sz w:val="22"/>
        </w:rPr>
        <w:t>Despite having only 2,133 orders, the B2B Portal channel generates $2.28M — an average of $1,069 per order, nearly 2× the overall average.</w:t>
      </w:r>
    </w:p>
    <w:p>
      <w:pPr>
        <w:spacing w:before="200" w:after="80"/>
      </w:pPr>
      <w:r>
        <w:rPr>
          <w:b/>
          <w:color w:val="1F2328"/>
          <w:sz w:val="24"/>
        </w:rPr>
        <w:t>Chart 5 — Monthly Revenue Trend by Year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6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month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5: All four years show a consistent seasonal peak in Q4 (Oct–Dec), with Q1 as the softest period.</w:t>
      </w:r>
    </w:p>
    <w:p>
      <w:pPr>
        <w:spacing w:after="200"/>
      </w:pPr>
      <w:r>
        <w:rPr>
          <w:color w:val="1F2328"/>
          <w:sz w:val="22"/>
        </w:rPr>
        <w:t>The seasonal pattern is highly consistent: Q4 outperforms every other quarter in all four years. Q4 2025 alone generated $848,755 — the single highest quarter on record.</w:t>
      </w:r>
    </w:p>
    <w:p>
      <w:pPr>
        <w:spacing w:before="200" w:after="80"/>
      </w:pPr>
      <w:r>
        <w:rPr>
          <w:b/>
          <w:color w:val="1F2328"/>
          <w:sz w:val="24"/>
        </w:rPr>
        <w:t>Chart 6 — Top 10 Products by Revenue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67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6: AeroBook 14 Laptop ($1.47M) and ProBook 16 Laptop ($1.45M) are the two highest-revenue products.</w:t>
      </w:r>
    </w:p>
    <w:p>
      <w:pPr>
        <w:spacing w:after="200"/>
      </w:pPr>
      <w:r>
        <w:rPr>
          <w:color w:val="1F2328"/>
          <w:sz w:val="22"/>
        </w:rPr>
        <w:t>The top 2 laptop products together represent 33% of total revenue. Technology products dominate the top 6 positions, with furniture items (Standing Desk, Meeting Table) rounding out the top 5.</w:t>
      </w:r>
    </w:p>
    <w:p>
      <w:pPr>
        <w:spacing w:before="200" w:after="80"/>
      </w:pPr>
      <w:r>
        <w:rPr>
          <w:b/>
          <w:color w:val="1F2328"/>
          <w:sz w:val="24"/>
        </w:rPr>
        <w:t>Chart 7 — Revenue by Customer Segment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81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seg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7: Consumer segment leads with $3.91M — 44% of total revenue.</w:t>
      </w:r>
    </w:p>
    <w:p>
      <w:pPr>
        <w:spacing w:after="200"/>
      </w:pPr>
      <w:r>
        <w:rPr>
          <w:color w:val="1F2328"/>
          <w:sz w:val="22"/>
        </w:rPr>
        <w:t>Small Business ($1.52M) has a higher average order value than pure consumers, making it a key upsell target. Premium segment has the highest average rating (4.01) despite the fewest orders.</w:t>
      </w:r>
    </w:p>
    <w:p>
      <w:pPr>
        <w:spacing w:before="200" w:after="80"/>
      </w:pPr>
      <w:r>
        <w:rPr>
          <w:b/>
          <w:color w:val="1F2328"/>
          <w:sz w:val="24"/>
        </w:rPr>
        <w:t>Chart 8 — Order Status Distribution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4389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8: 64.2% of all orders are Completed; 8.9% are Returned; 4.9% are Cancelled.</w:t>
      </w:r>
    </w:p>
    <w:p>
      <w:pPr>
        <w:spacing w:after="200"/>
      </w:pPr>
      <w:r>
        <w:rPr>
          <w:color w:val="1F2328"/>
          <w:sz w:val="22"/>
        </w:rPr>
        <w:t>The combined non-fulfilled rate (Returned + Cancelled) is 13.8%, representing revenue leakage of approximately $1.2M that warrants investigation.</w:t>
      </w:r>
    </w:p>
    <w:p>
      <w:pPr>
        <w:spacing w:before="200" w:after="80"/>
      </w:pPr>
      <w:r>
        <w:rPr>
          <w:b/>
          <w:color w:val="1F2328"/>
          <w:sz w:val="24"/>
        </w:rPr>
        <w:t>Chart 9 — Return Rate by Product Category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976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9_retur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9: Appliances has the highest return rate at 12.0%, followed by Electronics at 10.4%.</w:t>
      </w:r>
    </w:p>
    <w:p>
      <w:pPr>
        <w:spacing w:after="200"/>
      </w:pPr>
      <w:r>
        <w:rPr>
          <w:color w:val="1F2328"/>
          <w:sz w:val="22"/>
        </w:rPr>
        <w:t>All categories cluster between 9.9% and 12.0%, suggesting a systemic issue (e.g. packaging, product descriptions) rather than a category-specific one. Reducing the return rate by 2 percentage points would recover ~$176K in revenue.</w:t>
      </w:r>
    </w:p>
    <w:p>
      <w:pPr>
        <w:spacing w:before="200" w:after="80"/>
      </w:pPr>
      <w:r>
        <w:rPr>
          <w:b/>
          <w:color w:val="1F2328"/>
          <w:sz w:val="24"/>
        </w:rPr>
        <w:t>Chart 10 — Quarterly Revenue 2022–2025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quarter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10: Q4 is consistently the strongest quarter; Q4 2025 ($848K) is the highest single quarter across all years.</w:t>
      </w:r>
    </w:p>
    <w:p>
      <w:pPr>
        <w:spacing w:after="200"/>
      </w:pPr>
      <w:r>
        <w:rPr>
          <w:color w:val="1F2328"/>
          <w:sz w:val="22"/>
        </w:rPr>
        <w:t>Q1 is the softest quarter in every year. The Q1–Q4 gap averages $300K, supporting a seasonal stocking and promotional strategy.</w:t>
      </w:r>
    </w:p>
    <w:p>
      <w:pPr>
        <w:spacing w:before="200" w:after="80"/>
      </w:pPr>
      <w:r>
        <w:rPr>
          <w:b/>
          <w:color w:val="1F2328"/>
          <w:sz w:val="24"/>
        </w:rPr>
        <w:t>Chart 11 — Payment Method Usage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05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1_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11: Credit Card (6,820 transactions) is the dominant payment method — 38% of all orders.</w:t>
      </w:r>
    </w:p>
    <w:p>
      <w:pPr>
        <w:spacing w:after="200"/>
      </w:pPr>
      <w:r>
        <w:rPr>
          <w:color w:val="1F2328"/>
          <w:sz w:val="22"/>
        </w:rPr>
        <w:t>Digital wallets (PayPal + Apple Pay = 3,911 combined) are gaining ground and together surpass Debit Card usage. Cash remains present but is declining.</w:t>
      </w:r>
    </w:p>
    <w:p>
      <w:pPr>
        <w:spacing w:before="200" w:after="80"/>
      </w:pPr>
      <w:r>
        <w:rPr>
          <w:b/>
          <w:color w:val="1F2328"/>
          <w:sz w:val="24"/>
        </w:rPr>
        <w:t>Chart 12 — Promotion Code Impact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2750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2_pro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 12: Avg order value with a promo code is $490.41 vs $485.01 without — a +1.11% lift.</w:t>
      </w:r>
    </w:p>
    <w:p>
      <w:pPr>
        <w:spacing w:after="200"/>
      </w:pPr>
      <w:r>
        <w:rPr>
          <w:color w:val="1F2328"/>
          <w:sz w:val="22"/>
        </w:rPr>
        <w:t>While the absolute lift is modest, promotions drive volume. Of 18,000 orders, 8,263 (45.9%) used a promotion code, confirming that nearly half of all customers respond to promotional incentives.</w:t>
      </w:r>
    </w:p>
    <w:p>
      <w:r>
        <w:br w:type="page"/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7. Business Decisions &amp; Recommendations</w:t>
      </w:r>
    </w:p>
    <w:p>
      <w:pPr>
        <w:spacing w:after="120"/>
      </w:pPr>
      <w:r>
        <w:rPr>
          <w:color w:val="1F2328"/>
          <w:sz w:val="22"/>
        </w:rPr>
        <w:t>The following eight recommendations are derived directly from the analytical findings above. Each recommendation includes the supporting data point and a proposed action.</w:t>
      </w:r>
    </w:p>
    <w:p>
      <w:pPr>
        <w:spacing w:before="160" w:after="40"/>
      </w:pPr>
      <w:r>
        <w:rPr>
          <w:b/>
          <w:color w:val="1F2328"/>
          <w:sz w:val="23"/>
        </w:rPr>
        <w:t>1.  Double Down on the US Market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United States generates $3.74M — 43% of global revenue with 7,544 orders.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Increase marketing budget allocation for the US by 20%. Invest in localised promotions, seasonal campaigns, and faster fulfilment options. Explore regional expansion beyond the current store footprint.</w:t>
      </w:r>
    </w:p>
    <w:p>
      <w:pPr>
        <w:spacing w:before="160" w:after="40"/>
      </w:pPr>
      <w:r>
        <w:rPr>
          <w:b/>
          <w:color w:val="1F2328"/>
          <w:sz w:val="23"/>
        </w:rPr>
        <w:t>2.  Prioritise Electronics &amp; Furniture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Electronics ($5.26M) + Furniture ($2.12M) = 84% of all revenue.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Ensure optimal stock levels for these two categories, especially ahead of Q4. Introduce bundling (e.g. Laptop + Webcam) and upsell offers at checkout to increase basket size. Negotiate volume discounts with top suppliers.</w:t>
      </w:r>
    </w:p>
    <w:p>
      <w:pPr>
        <w:spacing w:before="160" w:after="40"/>
      </w:pPr>
      <w:r>
        <w:rPr>
          <w:b/>
          <w:color w:val="1F2328"/>
          <w:sz w:val="23"/>
        </w:rPr>
        <w:t>3.  Invest in the Online Channel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Online channel generates $3.31M — 37.7% of revenue with 8,211 orders.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Invest in website UX improvements, personalised product recommendations, and a loyalty rewards programme. A/B test checkout optimisations to reduce cart abandonment and increase conversion rate.</w:t>
      </w:r>
    </w:p>
    <w:p>
      <w:pPr>
        <w:spacing w:before="160" w:after="40"/>
      </w:pPr>
      <w:r>
        <w:rPr>
          <w:b/>
          <w:color w:val="1F2328"/>
          <w:sz w:val="23"/>
        </w:rPr>
        <w:t>4.  Grow the B2B Portal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B2B Portal has an avg order of ~$1,069 — nearly 2× the overall average.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Assign dedicated B2B account managers. Offer volume pricing tiers and NET-30 payment terms. Create a B2B-specific catalogue with bulk SKUs. Target Small Business and Corporate segments with outbound campaigns.</w:t>
      </w:r>
    </w:p>
    <w:p>
      <w:pPr>
        <w:spacing w:before="160" w:after="40"/>
      </w:pPr>
      <w:r>
        <w:rPr>
          <w:b/>
          <w:color w:val="1F2328"/>
          <w:sz w:val="23"/>
        </w:rPr>
        <w:t>5.  Seasonal Campaign Planning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Q4 outperforms every other quarter in all four years; Q4 2025 = $848,755.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Begin inventory build 6 weeks before October. Launch email and paid campaigns in September. Create a 'Holiday Bundle' programme for top 10 products. Staff up customer service and fulfilment for October–December peak.</w:t>
      </w:r>
    </w:p>
    <w:p>
      <w:pPr>
        <w:spacing w:before="160" w:after="40"/>
      </w:pPr>
      <w:r>
        <w:rPr>
          <w:b/>
          <w:color w:val="1F2328"/>
          <w:sz w:val="23"/>
        </w:rPr>
        <w:t>6.  Reduce Returns (Target: -2 pp)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Overall return rate is 10.4%; Appliances leads at 12.0%.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Invest in richer product descriptions, 360° images, and video demos. Improve QC checks at dispatch. Add a 'Check Compatibility' tool for Electronics. A 2pp reduction would recover ~$176K in annual revenue.</w:t>
      </w:r>
    </w:p>
    <w:p>
      <w:pPr>
        <w:spacing w:before="160" w:after="40"/>
      </w:pPr>
      <w:r>
        <w:rPr>
          <w:b/>
          <w:color w:val="1F2328"/>
          <w:sz w:val="23"/>
        </w:rPr>
        <w:t>7.  Expand Targeted Promotions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45.9% of orders used a promo code; promo orders avg $490.41 (+$5.40 lift).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Expand personalised promo codes to the New Customer and Returning Customer segments (lower current penetration). Use minimum-spend thresholds (e.g. SAVE10 on orders &gt;$300) to protect margin while driving volume.</w:t>
      </w:r>
    </w:p>
    <w:p>
      <w:pPr>
        <w:spacing w:before="160" w:after="40"/>
      </w:pPr>
      <w:r>
        <w:rPr>
          <w:b/>
          <w:color w:val="1F2328"/>
          <w:sz w:val="23"/>
        </w:rPr>
        <w:t>8.  Improve Customer Rating</w:t>
      </w:r>
    </w:p>
    <w:p>
      <w:pPr>
        <w:spacing w:after="40"/>
        <w:ind w:left="360"/>
      </w:pPr>
      <w:r>
        <w:rPr>
          <w:b/>
          <w:color w:val="3B82D4"/>
          <w:sz w:val="20"/>
        </w:rPr>
        <w:t xml:space="preserve">Data: </w:t>
      </w:r>
      <w:r>
        <w:rPr>
          <w:i/>
          <w:color w:val="57606A"/>
          <w:sz w:val="20"/>
        </w:rPr>
        <w:t>Average rating is 3.99/5; Premium segment leads at 4.01.</w:t>
      </w:r>
    </w:p>
    <w:p>
      <w:pPr>
        <w:spacing w:after="160"/>
        <w:ind w:left="360"/>
      </w:pPr>
      <w:r>
        <w:rPr>
          <w:b/>
          <w:color w:val="1F2328"/>
          <w:sz w:val="20"/>
        </w:rPr>
        <w:t xml:space="preserve">Action: </w:t>
      </w:r>
      <w:r>
        <w:rPr>
          <w:color w:val="1F2328"/>
          <w:sz w:val="20"/>
        </w:rPr>
        <w:t>Implement automated post-purchase email at day +3 to collect reviews. Set up a service-recovery workflow for orders rated ≤3 stars within 24h. Share product quality feedback with the supply team monthly to address recurring issues before they impact reviews and repeat purchase rates.</w:t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8. Project Files &amp; Tech Stack</w:t>
      </w:r>
    </w:p>
    <w:p>
      <w:pPr>
        <w:spacing w:before="200" w:after="80"/>
      </w:pPr>
      <w:r>
        <w:rPr>
          <w:b/>
          <w:color w:val="1F2328"/>
          <w:sz w:val="24"/>
        </w:rPr>
        <w:t>8.1  Deliverable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04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sales_analysis.py</w:t>
            </w:r>
          </w:p>
        </w:tc>
        <w:tc>
          <w:tcPr>
            <w:tcW w:type="dxa" w:w="50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Streamlit web dashboard (7 tabs, sidebar filters, 10+ charts)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sales_analysis.ipynb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Jupyter Notebook — step-by-step analysis walkthrough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requirements.txt</w:t>
            </w:r>
          </w:p>
        </w:tc>
        <w:tc>
          <w:tcPr>
            <w:tcW w:type="dxa" w:w="50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Python package dependencies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README.md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Project setup guide and feature overview</w:t>
            </w:r>
          </w:p>
        </w:tc>
      </w:tr>
      <w:tr>
        <w:tc>
          <w:tcPr>
            <w:tcW w:type="dxa" w:w="4032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Sales_Analysis_Report.docx</w:t>
            </w:r>
          </w:p>
        </w:tc>
        <w:tc>
          <w:tcPr>
            <w:tcW w:type="dxa" w:w="50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This report document with embedded charts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Sales_transactions_2022_2025.csv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Source dataset (18,045 rows × 32 columns)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8.2 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1440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904"/>
            <w:shd w:val="clear" w:color="auto" w:fill="1f232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pandas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3.0.6+</w:t>
            </w:r>
          </w:p>
        </w:tc>
        <w:tc>
          <w:tcPr>
            <w:tcW w:type="dxa" w:w="59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Data loading, cleaning, grouping, and aggregation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matplotlib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3.11+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All chart and plot generation</w:t>
            </w:r>
          </w:p>
        </w:tc>
      </w:tr>
      <w:tr>
        <w:tc>
          <w:tcPr>
            <w:tcW w:type="dxa" w:w="172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seaborn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0.13+</w:t>
            </w:r>
          </w:p>
        </w:tc>
        <w:tc>
          <w:tcPr>
            <w:tcW w:type="dxa" w:w="59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Plot theming and colour palette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numpy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2.5+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Numerical operations</w:t>
            </w:r>
          </w:p>
        </w:tc>
      </w:tr>
      <w:tr>
        <w:tc>
          <w:tcPr>
            <w:tcW w:type="dxa" w:w="172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streamlit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1.64+</w:t>
            </w:r>
          </w:p>
        </w:tc>
        <w:tc>
          <w:tcPr>
            <w:tcW w:type="dxa" w:w="59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Interactive web-based analytics dashboard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openpyxl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3.1+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center"/>
            </w:pPr>
            <w:r>
              <w:rPr>
                <w:color w:val="1F2328"/>
                <w:sz w:val="19"/>
              </w:rPr>
              <w:t>Excel export support</w:t>
            </w:r>
          </w:p>
        </w:tc>
      </w:tr>
      <w:tr>
        <w:tc>
          <w:tcPr>
            <w:tcW w:type="dxa" w:w="1728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Python</w:t>
            </w:r>
          </w:p>
        </w:tc>
        <w:tc>
          <w:tcPr>
            <w:tcW w:type="dxa" w:w="1440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3.14</w:t>
            </w:r>
          </w:p>
        </w:tc>
        <w:tc>
          <w:tcPr>
            <w:tcW w:type="dxa" w:w="5904"/>
            <w:shd w:val="clear" w:color="auto" w:fill="f7f8fa"/>
          </w:tcPr>
          <w:p>
            <w:pPr>
              <w:jc w:val="center"/>
            </w:pPr>
            <w:r>
              <w:rPr>
                <w:color w:val="1F2328"/>
                <w:sz w:val="19"/>
              </w:rPr>
              <w:t>Runtime environment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2328"/>
          <w:sz w:val="24"/>
        </w:rPr>
        <w:t>8.3  Running the Dashboard</w:t>
      </w:r>
    </w:p>
    <w:p>
      <w:pPr>
        <w:spacing w:after="120"/>
      </w:pPr>
      <w:r>
        <w:rPr>
          <w:color w:val="1F2328"/>
          <w:sz w:val="22"/>
        </w:rPr>
        <w:t>Install dependencies and launch the Streamlit app:</w:t>
      </w:r>
    </w:p>
    <w:p>
      <w:pPr>
        <w:spacing w:after="160"/>
        <w:ind w:left="576"/>
      </w:pPr>
      <w:r>
        <w:rPr>
          <w:rFonts w:ascii="Courier New" w:hAnsi="Courier New"/>
          <w:color w:val="3B82D4"/>
          <w:sz w:val="20"/>
        </w:rPr>
        <w:t>pip install -r requirements.txt</w:t>
        <w:br/>
        <w:t>streamlit run sales_analysis.py</w:t>
      </w:r>
    </w:p>
    <w:p>
      <w:pPr>
        <w:spacing w:before="360" w:after="160"/>
        <w:pBdr>
          <w:left w:val="single" w:sz="24" w:space="8" w:color="3b82d4"/>
        </w:pBdr>
      </w:pPr>
      <w:r>
        <w:rPr>
          <w:b/>
          <w:color w:val="3B82D4"/>
          <w:sz w:val="32"/>
        </w:rPr>
        <w:t>9. Conclusion</w:t>
      </w:r>
    </w:p>
    <w:p>
      <w:pPr>
        <w:spacing w:after="120"/>
      </w:pPr>
      <w:r>
        <w:rPr>
          <w:color w:val="1F2328"/>
          <w:sz w:val="22"/>
        </w:rPr>
        <w:t>This project demonstrates a complete, production-quality data analytics pipeline — from raw CSV ingestion through cleaning, computation, multi-dimensional aggregation, 12 visualisations, and data-driven business insight extraction.</w:t>
      </w:r>
    </w:p>
    <w:p>
      <w:pPr>
        <w:spacing w:after="120"/>
      </w:pPr>
      <w:r>
        <w:rPr>
          <w:color w:val="1F2328"/>
          <w:sz w:val="22"/>
        </w:rPr>
        <w:t>The analysis reveals that the business is fundamentally healthy, with 4-year revenue of $8.8M and a strong recovery trajectory in 2025 (+20.1% YoY). The core growth levers are clear: concentrate resources on the US market, Electronics/Furniture categories, and the Online/B2B channels, while simultaneously reducing the 10.4% return rate and capitalising on the highly consistent Q4 seasonal pattern.</w:t>
      </w:r>
    </w:p>
    <w:p>
      <w:pPr>
        <w:spacing w:after="240"/>
      </w:pPr>
      <w:r>
        <w:rPr>
          <w:color w:val="1F2328"/>
          <w:sz w:val="22"/>
        </w:rPr>
        <w:t>The Streamlit dashboard delivers these insights interactively, allowing business stakeholders to filter by year, country, category, channel, and order status in real time — no SQL or Python required. The Jupyter Notebook provides a transparent, reproducible audit trail of every analytical step for technical reviewers.</w:t>
      </w:r>
    </w:p>
    <w:p>
      <w:pPr>
        <w:spacing w:before="480" w:after="80"/>
      </w:pPr>
      <w:r>
        <w:rPr>
          <w:color w:val="57606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7606A"/>
          <w:sz w:val="16"/>
        </w:rPr>
        <w:t>Sales Analytics Project Report  |  Generated with Python &amp; IBM Bob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