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5CFB3" w14:textId="77777777" w:rsidR="003D2740" w:rsidRPr="003D2740" w:rsidRDefault="003D2740" w:rsidP="003D2740">
      <w:pPr>
        <w:rPr>
          <w:b/>
          <w:bCs/>
        </w:rPr>
      </w:pPr>
      <w:r w:rsidRPr="003D2740">
        <w:rPr>
          <w:b/>
          <w:bCs/>
        </w:rPr>
        <w:t xml:space="preserve">Livre Blanc - </w:t>
      </w:r>
      <w:proofErr w:type="spellStart"/>
      <w:r w:rsidRPr="003D2740">
        <w:rPr>
          <w:b/>
          <w:bCs/>
        </w:rPr>
        <w:t>HorseToken</w:t>
      </w:r>
      <w:proofErr w:type="spellEnd"/>
      <w:r w:rsidRPr="003D2740">
        <w:rPr>
          <w:b/>
          <w:bCs/>
        </w:rPr>
        <w:t xml:space="preserve"> (version enrichie)</w:t>
      </w:r>
    </w:p>
    <w:p w14:paraId="27EDDEBF" w14:textId="77777777" w:rsidR="003D2740" w:rsidRPr="003D2740" w:rsidRDefault="003D2740" w:rsidP="003D2740">
      <w:pPr>
        <w:rPr>
          <w:b/>
          <w:bCs/>
        </w:rPr>
      </w:pPr>
      <w:r w:rsidRPr="003D2740">
        <w:rPr>
          <w:b/>
          <w:bCs/>
        </w:rPr>
        <w:t>1. Introduction</w:t>
      </w:r>
    </w:p>
    <w:p w14:paraId="6B86FB42" w14:textId="77777777" w:rsidR="003D2740" w:rsidRPr="003D2740" w:rsidRDefault="003D2740" w:rsidP="003D2740">
      <w:proofErr w:type="spellStart"/>
      <w:r w:rsidRPr="003D2740">
        <w:t>HorseToken</w:t>
      </w:r>
      <w:proofErr w:type="spellEnd"/>
      <w:r w:rsidRPr="003D2740">
        <w:t xml:space="preserve"> est un projet innovant qui vise à démocratiser l’accès au monde des courses hippiques en le rendant accessible via la blockchain. Grâce à un jeton ERC-20 (HRTK), les détenteurs de </w:t>
      </w:r>
      <w:proofErr w:type="spellStart"/>
      <w:r w:rsidRPr="003D2740">
        <w:t>tokens</w:t>
      </w:r>
      <w:proofErr w:type="spellEnd"/>
      <w:r w:rsidRPr="003D2740">
        <w:t xml:space="preserve"> peuvent participer indirectement aux performances de chevaux de course, suivre les résultats et percevoir une redistribution régulière, sans détenir physiquement ou juridiquement les chevaux.</w:t>
      </w:r>
    </w:p>
    <w:p w14:paraId="346203D2" w14:textId="77777777" w:rsidR="003D2740" w:rsidRPr="003D2740" w:rsidRDefault="003D2740" w:rsidP="003D2740">
      <w:r w:rsidRPr="003D2740">
        <w:t>Le projet repose sur une structure juridique centralisée (SARL), détenue majoritairement par une ou plusieurs grandes écuries professionnelles. Cette organisation garantit une gestion rigoureuse, tout en maintenant une gouvernance communautaire consultative via une DAO.</w:t>
      </w:r>
    </w:p>
    <w:p w14:paraId="2F39580C" w14:textId="77777777" w:rsidR="003D2740" w:rsidRPr="003D2740" w:rsidRDefault="003D2740" w:rsidP="003D2740">
      <w:r w:rsidRPr="003D2740">
        <w:t xml:space="preserve">Le choix d’un modèle Web3 communautaire avec un </w:t>
      </w:r>
      <w:proofErr w:type="spellStart"/>
      <w:r w:rsidRPr="003D2740">
        <w:t>token</w:t>
      </w:r>
      <w:proofErr w:type="spellEnd"/>
      <w:r w:rsidRPr="003D2740">
        <w:t xml:space="preserve"> abordable (0,10 €) reflète la volonté de rendre ce projet accessible à un large public et cohérent avec l’esprit participatif du Web3.</w:t>
      </w:r>
    </w:p>
    <w:p w14:paraId="45F38625" w14:textId="77777777" w:rsidR="003D2740" w:rsidRPr="003D2740" w:rsidRDefault="003D2740" w:rsidP="003D2740">
      <w:r w:rsidRPr="003D2740">
        <w:pict w14:anchorId="51674C5F">
          <v:rect id="_x0000_i1286" style="width:0;height:1.5pt" o:hralign="center" o:hrstd="t" o:hr="t" fillcolor="#a0a0a0" stroked="f"/>
        </w:pict>
      </w:r>
    </w:p>
    <w:p w14:paraId="2A6E25B7" w14:textId="77777777" w:rsidR="003D2740" w:rsidRPr="003D2740" w:rsidRDefault="003D2740" w:rsidP="003D2740">
      <w:pPr>
        <w:rPr>
          <w:b/>
          <w:bCs/>
        </w:rPr>
      </w:pPr>
      <w:r w:rsidRPr="003D2740">
        <w:rPr>
          <w:b/>
          <w:bCs/>
        </w:rPr>
        <w:t xml:space="preserve">2. Le concept </w:t>
      </w:r>
      <w:proofErr w:type="spellStart"/>
      <w:r w:rsidRPr="003D2740">
        <w:rPr>
          <w:b/>
          <w:bCs/>
        </w:rPr>
        <w:t>HorseToken</w:t>
      </w:r>
      <w:proofErr w:type="spellEnd"/>
    </w:p>
    <w:p w14:paraId="5EA9A303" w14:textId="77777777" w:rsidR="003D2740" w:rsidRPr="003D2740" w:rsidRDefault="003D2740" w:rsidP="003D2740">
      <w:proofErr w:type="spellStart"/>
      <w:r w:rsidRPr="003D2740">
        <w:t>HorseToken</w:t>
      </w:r>
      <w:proofErr w:type="spellEnd"/>
      <w:r w:rsidRPr="003D2740">
        <w:t xml:space="preserve"> est un jeton utilitaire ERC-20 adossé à un portefeuille de chevaux de course gérés par la SARL </w:t>
      </w:r>
      <w:proofErr w:type="spellStart"/>
      <w:r w:rsidRPr="003D2740">
        <w:t>HorseToken</w:t>
      </w:r>
      <w:proofErr w:type="spellEnd"/>
      <w:r w:rsidRPr="003D2740">
        <w:t xml:space="preserve">. Les détenteurs de </w:t>
      </w:r>
      <w:proofErr w:type="spellStart"/>
      <w:r w:rsidRPr="003D2740">
        <w:t>tokens</w:t>
      </w:r>
      <w:proofErr w:type="spellEnd"/>
      <w:r w:rsidRPr="003D2740">
        <w:t xml:space="preserve"> peuvent suivre les performances du portefeuille équin via une application, recevoir une part des gains nets redistribuables, et participer à la vie du projet grâce à une DAO consultative.</w:t>
      </w:r>
    </w:p>
    <w:p w14:paraId="2CDF9982" w14:textId="77777777" w:rsidR="003D2740" w:rsidRPr="003D2740" w:rsidRDefault="003D2740" w:rsidP="003D2740">
      <w:r w:rsidRPr="003D2740">
        <w:t xml:space="preserve">Les chevaux sont sélectionnés, acquis et gérés exclusivement par la SARL </w:t>
      </w:r>
      <w:proofErr w:type="spellStart"/>
      <w:r w:rsidRPr="003D2740">
        <w:t>HorseToken</w:t>
      </w:r>
      <w:proofErr w:type="spellEnd"/>
      <w:r w:rsidRPr="003D2740">
        <w:t>. Les décisions stratégiques restent sous contrôle des écuries fondatrices, garantes de l’efficacité opérationnelle.</w:t>
      </w:r>
    </w:p>
    <w:p w14:paraId="1910EDE4" w14:textId="77777777" w:rsidR="003D2740" w:rsidRPr="003D2740" w:rsidRDefault="003D2740" w:rsidP="003D2740">
      <w:r w:rsidRPr="003D2740">
        <w:pict w14:anchorId="02E9BC9F">
          <v:rect id="_x0000_i1287" style="width:0;height:1.5pt" o:hralign="center" o:hrstd="t" o:hr="t" fillcolor="#a0a0a0" stroked="f"/>
        </w:pict>
      </w:r>
    </w:p>
    <w:p w14:paraId="3982F941" w14:textId="77777777" w:rsidR="003D2740" w:rsidRPr="003D2740" w:rsidRDefault="003D2740" w:rsidP="003D2740">
      <w:pPr>
        <w:rPr>
          <w:b/>
          <w:bCs/>
        </w:rPr>
      </w:pPr>
      <w:r w:rsidRPr="003D2740">
        <w:rPr>
          <w:b/>
          <w:bCs/>
        </w:rPr>
        <w:t>3. Fonctionnement</w:t>
      </w:r>
    </w:p>
    <w:p w14:paraId="70A0F9A5" w14:textId="77777777" w:rsidR="003D2740" w:rsidRPr="003D2740" w:rsidRDefault="003D2740" w:rsidP="003D2740">
      <w:pPr>
        <w:numPr>
          <w:ilvl w:val="0"/>
          <w:numId w:val="47"/>
        </w:numPr>
      </w:pPr>
      <w:r w:rsidRPr="003D2740">
        <w:t xml:space="preserve">La SARL </w:t>
      </w:r>
      <w:proofErr w:type="spellStart"/>
      <w:r w:rsidRPr="003D2740">
        <w:t>HorseToken</w:t>
      </w:r>
      <w:proofErr w:type="spellEnd"/>
      <w:r w:rsidRPr="003D2740">
        <w:t xml:space="preserve"> (100 parts sociales) est contrôlée par des acteurs professionnels du monde hippique.</w:t>
      </w:r>
    </w:p>
    <w:p w14:paraId="6A961045" w14:textId="77777777" w:rsidR="003D2740" w:rsidRPr="003D2740" w:rsidRDefault="003D2740" w:rsidP="003D2740">
      <w:pPr>
        <w:numPr>
          <w:ilvl w:val="0"/>
          <w:numId w:val="47"/>
        </w:numPr>
      </w:pPr>
      <w:r w:rsidRPr="003D2740">
        <w:t>Les HRTK sont vendus au public via une offre initiale (ICO) pour financer les premiers chevaux.</w:t>
      </w:r>
    </w:p>
    <w:p w14:paraId="19FB2579" w14:textId="77777777" w:rsidR="003D2740" w:rsidRPr="003D2740" w:rsidRDefault="003D2740" w:rsidP="003D2740">
      <w:pPr>
        <w:numPr>
          <w:ilvl w:val="0"/>
          <w:numId w:val="47"/>
        </w:numPr>
      </w:pPr>
      <w:r w:rsidRPr="003D2740">
        <w:t xml:space="preserve">Les gains nets issus des courses sont versés dans un smart </w:t>
      </w:r>
      <w:proofErr w:type="spellStart"/>
      <w:r w:rsidRPr="003D2740">
        <w:t>contract</w:t>
      </w:r>
      <w:proofErr w:type="spellEnd"/>
      <w:r w:rsidRPr="003D2740">
        <w:t xml:space="preserve"> qui redistribue automatiquement les revenus aux détenteurs de HRTK.</w:t>
      </w:r>
    </w:p>
    <w:p w14:paraId="52D956D7" w14:textId="77777777" w:rsidR="003D2740" w:rsidRPr="003D2740" w:rsidRDefault="003D2740" w:rsidP="003D2740">
      <w:pPr>
        <w:numPr>
          <w:ilvl w:val="0"/>
          <w:numId w:val="47"/>
        </w:numPr>
      </w:pPr>
      <w:r w:rsidRPr="003D2740">
        <w:t>Une DAO consultative permet aux détenteurs de proposer des orientations (communication, types de chevaux, etc.).</w:t>
      </w:r>
    </w:p>
    <w:p w14:paraId="76E565AC" w14:textId="77777777" w:rsidR="003D2740" w:rsidRPr="003D2740" w:rsidRDefault="003D2740" w:rsidP="003D2740">
      <w:r w:rsidRPr="003D2740">
        <w:pict w14:anchorId="5BF5C6A6">
          <v:rect id="_x0000_i1288" style="width:0;height:1.5pt" o:hralign="center" o:hrstd="t" o:hr="t" fillcolor="#a0a0a0" stroked="f"/>
        </w:pict>
      </w:r>
    </w:p>
    <w:p w14:paraId="597A6315" w14:textId="77777777" w:rsidR="003D2740" w:rsidRPr="003D2740" w:rsidRDefault="003D2740" w:rsidP="003D2740">
      <w:pPr>
        <w:rPr>
          <w:b/>
          <w:bCs/>
        </w:rPr>
      </w:pPr>
      <w:r w:rsidRPr="003D2740">
        <w:rPr>
          <w:b/>
          <w:bCs/>
        </w:rPr>
        <w:t xml:space="preserve">4. </w:t>
      </w:r>
      <w:proofErr w:type="spellStart"/>
      <w:r w:rsidRPr="003D2740">
        <w:rPr>
          <w:b/>
          <w:bCs/>
        </w:rPr>
        <w:t>Tokenomics</w:t>
      </w:r>
      <w:proofErr w:type="spellEnd"/>
    </w:p>
    <w:p w14:paraId="4737F02D" w14:textId="77777777" w:rsidR="003D2740" w:rsidRPr="003D2740" w:rsidRDefault="003D2740" w:rsidP="003D2740">
      <w:pPr>
        <w:numPr>
          <w:ilvl w:val="0"/>
          <w:numId w:val="48"/>
        </w:numPr>
      </w:pPr>
      <w:r w:rsidRPr="003D2740">
        <w:rPr>
          <w:b/>
          <w:bCs/>
        </w:rPr>
        <w:t xml:space="preserve">Nom du </w:t>
      </w:r>
      <w:proofErr w:type="spellStart"/>
      <w:r w:rsidRPr="003D2740">
        <w:rPr>
          <w:b/>
          <w:bCs/>
        </w:rPr>
        <w:t>token</w:t>
      </w:r>
      <w:proofErr w:type="spellEnd"/>
      <w:r w:rsidRPr="003D2740">
        <w:t xml:space="preserve"> : </w:t>
      </w:r>
      <w:proofErr w:type="spellStart"/>
      <w:r w:rsidRPr="003D2740">
        <w:t>HorseToken</w:t>
      </w:r>
      <w:proofErr w:type="spellEnd"/>
      <w:r w:rsidRPr="003D2740">
        <w:t xml:space="preserve"> (HRTK)</w:t>
      </w:r>
    </w:p>
    <w:p w14:paraId="4805B621" w14:textId="77777777" w:rsidR="003D2740" w:rsidRPr="003D2740" w:rsidRDefault="003D2740" w:rsidP="003D2740">
      <w:pPr>
        <w:numPr>
          <w:ilvl w:val="0"/>
          <w:numId w:val="48"/>
        </w:numPr>
      </w:pPr>
      <w:r w:rsidRPr="003D2740">
        <w:rPr>
          <w:b/>
          <w:bCs/>
        </w:rPr>
        <w:t>Type</w:t>
      </w:r>
      <w:r w:rsidRPr="003D2740">
        <w:t xml:space="preserve"> : ERC-20 (</w:t>
      </w:r>
      <w:proofErr w:type="spellStart"/>
      <w:r w:rsidRPr="003D2740">
        <w:t>Ethereum</w:t>
      </w:r>
      <w:proofErr w:type="spellEnd"/>
      <w:r w:rsidRPr="003D2740">
        <w:t>)</w:t>
      </w:r>
    </w:p>
    <w:p w14:paraId="1E28EA47" w14:textId="77777777" w:rsidR="003D2740" w:rsidRPr="003D2740" w:rsidRDefault="003D2740" w:rsidP="003D2740">
      <w:pPr>
        <w:numPr>
          <w:ilvl w:val="0"/>
          <w:numId w:val="48"/>
        </w:numPr>
      </w:pPr>
      <w:r w:rsidRPr="003D2740">
        <w:rPr>
          <w:b/>
          <w:bCs/>
        </w:rPr>
        <w:t xml:space="preserve">Total </w:t>
      </w:r>
      <w:proofErr w:type="spellStart"/>
      <w:r w:rsidRPr="003D2740">
        <w:rPr>
          <w:b/>
          <w:bCs/>
        </w:rPr>
        <w:t>Supply</w:t>
      </w:r>
      <w:proofErr w:type="spellEnd"/>
      <w:r w:rsidRPr="003D2740">
        <w:t xml:space="preserve"> : 1 000 000 HRTK</w:t>
      </w:r>
    </w:p>
    <w:p w14:paraId="22B07AEA" w14:textId="77777777" w:rsidR="003D2740" w:rsidRPr="003D2740" w:rsidRDefault="003D2740" w:rsidP="003D2740">
      <w:pPr>
        <w:numPr>
          <w:ilvl w:val="0"/>
          <w:numId w:val="48"/>
        </w:numPr>
      </w:pPr>
      <w:r w:rsidRPr="003D2740">
        <w:rPr>
          <w:b/>
          <w:bCs/>
        </w:rPr>
        <w:t>Prix initial</w:t>
      </w:r>
      <w:r w:rsidRPr="003D2740">
        <w:t xml:space="preserve"> : 0,10 €</w:t>
      </w:r>
    </w:p>
    <w:p w14:paraId="676823AB" w14:textId="77777777" w:rsidR="003D2740" w:rsidRPr="003D2740" w:rsidRDefault="003D2740" w:rsidP="003D2740">
      <w:pPr>
        <w:rPr>
          <w:b/>
          <w:bCs/>
        </w:rPr>
      </w:pPr>
      <w:r w:rsidRPr="003D2740">
        <w:rPr>
          <w:b/>
          <w:bCs/>
        </w:rPr>
        <w:lastRenderedPageBreak/>
        <w:t>Répartition initiale :</w:t>
      </w:r>
    </w:p>
    <w:p w14:paraId="212D4DF6" w14:textId="77777777" w:rsidR="003D2740" w:rsidRPr="003D2740" w:rsidRDefault="003D2740" w:rsidP="003D2740">
      <w:pPr>
        <w:numPr>
          <w:ilvl w:val="0"/>
          <w:numId w:val="49"/>
        </w:numPr>
      </w:pPr>
      <w:r w:rsidRPr="003D2740">
        <w:t>Vente publique : 50 % (500 000 HRTK)</w:t>
      </w:r>
    </w:p>
    <w:p w14:paraId="62148CFD" w14:textId="77777777" w:rsidR="003D2740" w:rsidRPr="003D2740" w:rsidRDefault="003D2740" w:rsidP="003D2740">
      <w:pPr>
        <w:numPr>
          <w:ilvl w:val="0"/>
          <w:numId w:val="49"/>
        </w:numPr>
      </w:pPr>
      <w:r w:rsidRPr="003D2740">
        <w:t>Réserve stratégique SARL : 20 %</w:t>
      </w:r>
    </w:p>
    <w:p w14:paraId="4971AFB5" w14:textId="77777777" w:rsidR="003D2740" w:rsidRPr="003D2740" w:rsidRDefault="003D2740" w:rsidP="003D2740">
      <w:pPr>
        <w:numPr>
          <w:ilvl w:val="0"/>
          <w:numId w:val="49"/>
        </w:numPr>
      </w:pPr>
      <w:r w:rsidRPr="003D2740">
        <w:t>Équipe fondatrice : 15 % (</w:t>
      </w:r>
      <w:proofErr w:type="spellStart"/>
      <w:r w:rsidRPr="003D2740">
        <w:t>vesting</w:t>
      </w:r>
      <w:proofErr w:type="spellEnd"/>
      <w:r w:rsidRPr="003D2740">
        <w:t xml:space="preserve"> sur 3 ans)</w:t>
      </w:r>
    </w:p>
    <w:p w14:paraId="296E9EE1" w14:textId="77777777" w:rsidR="003D2740" w:rsidRPr="003D2740" w:rsidRDefault="003D2740" w:rsidP="003D2740">
      <w:pPr>
        <w:numPr>
          <w:ilvl w:val="0"/>
          <w:numId w:val="49"/>
        </w:numPr>
      </w:pPr>
      <w:r w:rsidRPr="003D2740">
        <w:t>Partenaires équestres : 10 %</w:t>
      </w:r>
    </w:p>
    <w:p w14:paraId="13D1D557" w14:textId="77777777" w:rsidR="003D2740" w:rsidRPr="003D2740" w:rsidRDefault="003D2740" w:rsidP="003D2740">
      <w:pPr>
        <w:numPr>
          <w:ilvl w:val="0"/>
          <w:numId w:val="49"/>
        </w:numPr>
      </w:pPr>
      <w:r w:rsidRPr="003D2740">
        <w:t>Marketing &amp; Récompenses : 5 %</w:t>
      </w:r>
    </w:p>
    <w:p w14:paraId="73F21589" w14:textId="77777777" w:rsidR="003D2740" w:rsidRPr="003D2740" w:rsidRDefault="003D2740" w:rsidP="003D2740">
      <w:pPr>
        <w:rPr>
          <w:b/>
          <w:bCs/>
        </w:rPr>
      </w:pPr>
      <w:proofErr w:type="spellStart"/>
      <w:r w:rsidRPr="003D2740">
        <w:rPr>
          <w:b/>
          <w:bCs/>
        </w:rPr>
        <w:t>Vesting</w:t>
      </w:r>
      <w:proofErr w:type="spellEnd"/>
      <w:r w:rsidRPr="003D2740">
        <w:rPr>
          <w:b/>
          <w:bCs/>
        </w:rPr>
        <w:t xml:space="preserve"> fondateurs :</w:t>
      </w:r>
    </w:p>
    <w:p w14:paraId="29312C0C" w14:textId="77777777" w:rsidR="003D2740" w:rsidRPr="003D2740" w:rsidRDefault="003D2740" w:rsidP="003D2740">
      <w:pPr>
        <w:numPr>
          <w:ilvl w:val="0"/>
          <w:numId w:val="50"/>
        </w:numPr>
      </w:pPr>
      <w:r w:rsidRPr="003D2740">
        <w:t>Cliff 12 mois</w:t>
      </w:r>
    </w:p>
    <w:p w14:paraId="5E7384D3" w14:textId="77777777" w:rsidR="003D2740" w:rsidRPr="003D2740" w:rsidRDefault="003D2740" w:rsidP="003D2740">
      <w:pPr>
        <w:numPr>
          <w:ilvl w:val="0"/>
          <w:numId w:val="50"/>
        </w:numPr>
      </w:pPr>
      <w:r w:rsidRPr="003D2740">
        <w:t>Libération mensuelle sur 24 mois</w:t>
      </w:r>
    </w:p>
    <w:p w14:paraId="10BB82E6" w14:textId="77777777" w:rsidR="003D2740" w:rsidRPr="003D2740" w:rsidRDefault="003D2740" w:rsidP="003D2740">
      <w:r w:rsidRPr="003D2740">
        <w:pict w14:anchorId="7ED2B28F">
          <v:rect id="_x0000_i1289" style="width:0;height:1.5pt" o:hralign="center" o:hrstd="t" o:hr="t" fillcolor="#a0a0a0" stroked="f"/>
        </w:pict>
      </w:r>
    </w:p>
    <w:p w14:paraId="049968C8" w14:textId="77777777" w:rsidR="003D2740" w:rsidRPr="003D2740" w:rsidRDefault="003D2740" w:rsidP="003D2740">
      <w:pPr>
        <w:rPr>
          <w:b/>
          <w:bCs/>
        </w:rPr>
      </w:pPr>
      <w:r w:rsidRPr="003D2740">
        <w:rPr>
          <w:b/>
          <w:bCs/>
        </w:rPr>
        <w:t>5. Gestion des actifs équins</w:t>
      </w:r>
    </w:p>
    <w:p w14:paraId="0C556F1E" w14:textId="77777777" w:rsidR="003D2740" w:rsidRPr="003D2740" w:rsidRDefault="003D2740" w:rsidP="003D2740">
      <w:r w:rsidRPr="003D2740">
        <w:t xml:space="preserve">Tous les chevaux sont acquis et gérés par la SARL </w:t>
      </w:r>
      <w:proofErr w:type="spellStart"/>
      <w:r w:rsidRPr="003D2740">
        <w:t>HorseToken</w:t>
      </w:r>
      <w:proofErr w:type="spellEnd"/>
      <w:r w:rsidRPr="003D2740">
        <w:t>. Celle-ci est responsable de leur entraînement, mise en course, suivi de performance, soins et revente éventuelle.</w:t>
      </w:r>
    </w:p>
    <w:p w14:paraId="449476B0" w14:textId="77777777" w:rsidR="003D2740" w:rsidRPr="003D2740" w:rsidRDefault="003D2740" w:rsidP="003D2740">
      <w:pPr>
        <w:numPr>
          <w:ilvl w:val="0"/>
          <w:numId w:val="51"/>
        </w:numPr>
      </w:pPr>
      <w:r w:rsidRPr="003D2740">
        <w:t>90 % des gains nets sont redistribués aux détenteurs de HRTK</w:t>
      </w:r>
    </w:p>
    <w:p w14:paraId="0E9A1EE6" w14:textId="77777777" w:rsidR="003D2740" w:rsidRPr="003D2740" w:rsidRDefault="003D2740" w:rsidP="003D2740">
      <w:pPr>
        <w:numPr>
          <w:ilvl w:val="0"/>
          <w:numId w:val="51"/>
        </w:numPr>
      </w:pPr>
      <w:r w:rsidRPr="003D2740">
        <w:t>10 % sont réinvestis pour acheter de nouveaux chevaux, couvrir les imprévus ou renforcer la trésorerie</w:t>
      </w:r>
    </w:p>
    <w:p w14:paraId="49A012AE" w14:textId="77777777" w:rsidR="003D2740" w:rsidRPr="003D2740" w:rsidRDefault="003D2740" w:rsidP="003D2740">
      <w:pPr>
        <w:numPr>
          <w:ilvl w:val="0"/>
          <w:numId w:val="51"/>
        </w:numPr>
      </w:pPr>
      <w:r w:rsidRPr="003D2740">
        <w:t>Les frais (entretien, entraînement, soins) sont prélevés avant redistribution</w:t>
      </w:r>
    </w:p>
    <w:p w14:paraId="1CF96EBC" w14:textId="77777777" w:rsidR="003D2740" w:rsidRPr="003D2740" w:rsidRDefault="003D2740" w:rsidP="003D2740">
      <w:r w:rsidRPr="003D2740">
        <w:pict w14:anchorId="74190A23">
          <v:rect id="_x0000_i1290" style="width:0;height:1.5pt" o:hralign="center" o:hrstd="t" o:hr="t" fillcolor="#a0a0a0" stroked="f"/>
        </w:pict>
      </w:r>
    </w:p>
    <w:p w14:paraId="2819EDC0" w14:textId="77777777" w:rsidR="003D2740" w:rsidRPr="003D2740" w:rsidRDefault="003D2740" w:rsidP="003D2740">
      <w:pPr>
        <w:rPr>
          <w:b/>
          <w:bCs/>
        </w:rPr>
      </w:pPr>
      <w:r w:rsidRPr="003D2740">
        <w:rPr>
          <w:b/>
          <w:bCs/>
        </w:rPr>
        <w:t>6. Gouvernance participative (DAO)</w:t>
      </w:r>
    </w:p>
    <w:p w14:paraId="05C2B539" w14:textId="77777777" w:rsidR="003D2740" w:rsidRPr="003D2740" w:rsidRDefault="003D2740" w:rsidP="003D2740">
      <w:r w:rsidRPr="003D2740">
        <w:t xml:space="preserve">La DAO </w:t>
      </w:r>
      <w:proofErr w:type="spellStart"/>
      <w:r w:rsidRPr="003D2740">
        <w:t>HorseToken</w:t>
      </w:r>
      <w:proofErr w:type="spellEnd"/>
      <w:r w:rsidRPr="003D2740">
        <w:t xml:space="preserve"> permet aux détenteurs de proposer et voter sur des sujets symboliques ou stratégiques non contraignants.</w:t>
      </w:r>
    </w:p>
    <w:p w14:paraId="19AEF05A" w14:textId="77777777" w:rsidR="003D2740" w:rsidRPr="003D2740" w:rsidRDefault="003D2740" w:rsidP="003D2740">
      <w:r w:rsidRPr="003D2740">
        <w:t>Exemples :</w:t>
      </w:r>
    </w:p>
    <w:p w14:paraId="6747595A" w14:textId="77777777" w:rsidR="003D2740" w:rsidRPr="003D2740" w:rsidRDefault="003D2740" w:rsidP="003D2740">
      <w:pPr>
        <w:numPr>
          <w:ilvl w:val="0"/>
          <w:numId w:val="52"/>
        </w:numPr>
      </w:pPr>
      <w:r w:rsidRPr="003D2740">
        <w:t>Choix du nom d’un cheval</w:t>
      </w:r>
    </w:p>
    <w:p w14:paraId="373BB56D" w14:textId="77777777" w:rsidR="003D2740" w:rsidRPr="003D2740" w:rsidRDefault="003D2740" w:rsidP="003D2740">
      <w:pPr>
        <w:numPr>
          <w:ilvl w:val="0"/>
          <w:numId w:val="52"/>
        </w:numPr>
      </w:pPr>
      <w:r w:rsidRPr="003D2740">
        <w:t>Suggestions marketing ou communautaires</w:t>
      </w:r>
    </w:p>
    <w:p w14:paraId="08ABE760" w14:textId="77777777" w:rsidR="003D2740" w:rsidRPr="003D2740" w:rsidRDefault="003D2740" w:rsidP="003D2740">
      <w:pPr>
        <w:numPr>
          <w:ilvl w:val="0"/>
          <w:numId w:val="52"/>
        </w:numPr>
      </w:pPr>
      <w:r w:rsidRPr="003D2740">
        <w:t>Recommandations sur les types de chevaux</w:t>
      </w:r>
    </w:p>
    <w:p w14:paraId="45D7FA02" w14:textId="77777777" w:rsidR="003D2740" w:rsidRPr="003D2740" w:rsidRDefault="003D2740" w:rsidP="003D2740">
      <w:r w:rsidRPr="003D2740">
        <w:t>Les décisions finales sont prises par la SARL.</w:t>
      </w:r>
    </w:p>
    <w:p w14:paraId="099EF80B" w14:textId="77777777" w:rsidR="003D2740" w:rsidRPr="003D2740" w:rsidRDefault="003D2740" w:rsidP="003D2740">
      <w:r w:rsidRPr="003D2740">
        <w:pict w14:anchorId="7FA6DA05">
          <v:rect id="_x0000_i1291" style="width:0;height:1.5pt" o:hralign="center" o:hrstd="t" o:hr="t" fillcolor="#a0a0a0" stroked="f"/>
        </w:pict>
      </w:r>
    </w:p>
    <w:p w14:paraId="329E8541" w14:textId="77777777" w:rsidR="003D2740" w:rsidRPr="003D2740" w:rsidRDefault="003D2740" w:rsidP="003D2740">
      <w:pPr>
        <w:rPr>
          <w:b/>
          <w:bCs/>
        </w:rPr>
      </w:pPr>
      <w:r w:rsidRPr="003D2740">
        <w:rPr>
          <w:b/>
          <w:bCs/>
        </w:rPr>
        <w:t>7. Application Web</w:t>
      </w:r>
    </w:p>
    <w:p w14:paraId="066ADE7E" w14:textId="77777777" w:rsidR="003D2740" w:rsidRPr="003D2740" w:rsidRDefault="003D2740" w:rsidP="003D2740">
      <w:r w:rsidRPr="003D2740">
        <w:t xml:space="preserve">L’application </w:t>
      </w:r>
      <w:proofErr w:type="spellStart"/>
      <w:r w:rsidRPr="003D2740">
        <w:t>HorseToken</w:t>
      </w:r>
      <w:proofErr w:type="spellEnd"/>
      <w:r w:rsidRPr="003D2740">
        <w:t xml:space="preserve"> permet aux utilisateurs de :</w:t>
      </w:r>
    </w:p>
    <w:p w14:paraId="4CE62D03" w14:textId="77777777" w:rsidR="003D2740" w:rsidRPr="003D2740" w:rsidRDefault="003D2740" w:rsidP="003D2740">
      <w:pPr>
        <w:numPr>
          <w:ilvl w:val="0"/>
          <w:numId w:val="53"/>
        </w:numPr>
      </w:pPr>
      <w:r w:rsidRPr="003D2740">
        <w:t xml:space="preserve">Se connecter via </w:t>
      </w:r>
      <w:proofErr w:type="spellStart"/>
      <w:r w:rsidRPr="003D2740">
        <w:t>Wallet</w:t>
      </w:r>
      <w:proofErr w:type="spellEnd"/>
      <w:r w:rsidRPr="003D2740">
        <w:t xml:space="preserve"> </w:t>
      </w:r>
      <w:proofErr w:type="spellStart"/>
      <w:r w:rsidRPr="003D2740">
        <w:t>Connect</w:t>
      </w:r>
      <w:proofErr w:type="spellEnd"/>
    </w:p>
    <w:p w14:paraId="3559B07F" w14:textId="77777777" w:rsidR="003D2740" w:rsidRPr="003D2740" w:rsidRDefault="003D2740" w:rsidP="003D2740">
      <w:pPr>
        <w:numPr>
          <w:ilvl w:val="0"/>
          <w:numId w:val="53"/>
        </w:numPr>
      </w:pPr>
      <w:r w:rsidRPr="003D2740">
        <w:t>Acheter des HRTK directement via l’interface</w:t>
      </w:r>
    </w:p>
    <w:p w14:paraId="4CD4BAE6" w14:textId="77777777" w:rsidR="003D2740" w:rsidRPr="003D2740" w:rsidRDefault="003D2740" w:rsidP="003D2740">
      <w:pPr>
        <w:numPr>
          <w:ilvl w:val="0"/>
          <w:numId w:val="53"/>
        </w:numPr>
      </w:pPr>
      <w:r w:rsidRPr="003D2740">
        <w:t>Visualiser leur solde et historique</w:t>
      </w:r>
    </w:p>
    <w:p w14:paraId="1812DD54" w14:textId="77777777" w:rsidR="003D2740" w:rsidRPr="003D2740" w:rsidRDefault="003D2740" w:rsidP="003D2740">
      <w:pPr>
        <w:numPr>
          <w:ilvl w:val="0"/>
          <w:numId w:val="53"/>
        </w:numPr>
      </w:pPr>
      <w:r w:rsidRPr="003D2740">
        <w:lastRenderedPageBreak/>
        <w:t>Suivre les performances des chevaux</w:t>
      </w:r>
    </w:p>
    <w:p w14:paraId="26C195D7" w14:textId="77777777" w:rsidR="003D2740" w:rsidRPr="003D2740" w:rsidRDefault="003D2740" w:rsidP="003D2740">
      <w:pPr>
        <w:numPr>
          <w:ilvl w:val="0"/>
          <w:numId w:val="53"/>
        </w:numPr>
      </w:pPr>
      <w:r w:rsidRPr="003D2740">
        <w:t>Recevoir les gains redistribués</w:t>
      </w:r>
    </w:p>
    <w:p w14:paraId="6B9E2707" w14:textId="77777777" w:rsidR="003D2740" w:rsidRPr="003D2740" w:rsidRDefault="003D2740" w:rsidP="003D2740">
      <w:pPr>
        <w:numPr>
          <w:ilvl w:val="0"/>
          <w:numId w:val="53"/>
        </w:numPr>
      </w:pPr>
      <w:r w:rsidRPr="003D2740">
        <w:t>Participer à la DAO consultative</w:t>
      </w:r>
    </w:p>
    <w:p w14:paraId="2D4C3426" w14:textId="77777777" w:rsidR="003D2740" w:rsidRPr="003D2740" w:rsidRDefault="003D2740" w:rsidP="003D2740">
      <w:r w:rsidRPr="003D2740">
        <w:pict w14:anchorId="3F06F504">
          <v:rect id="_x0000_i1292" style="width:0;height:1.5pt" o:hralign="center" o:hrstd="t" o:hr="t" fillcolor="#a0a0a0" stroked="f"/>
        </w:pict>
      </w:r>
    </w:p>
    <w:p w14:paraId="5F797257" w14:textId="77777777" w:rsidR="003D2740" w:rsidRPr="003D2740" w:rsidRDefault="003D2740" w:rsidP="003D2740">
      <w:pPr>
        <w:rPr>
          <w:b/>
          <w:bCs/>
        </w:rPr>
      </w:pPr>
      <w:r w:rsidRPr="003D2740">
        <w:rPr>
          <w:b/>
          <w:bCs/>
        </w:rPr>
        <w:t xml:space="preserve">8. Smart </w:t>
      </w:r>
      <w:proofErr w:type="spellStart"/>
      <w:r w:rsidRPr="003D2740">
        <w:rPr>
          <w:b/>
          <w:bCs/>
        </w:rPr>
        <w:t>contract</w:t>
      </w:r>
      <w:proofErr w:type="spellEnd"/>
      <w:r w:rsidRPr="003D2740">
        <w:rPr>
          <w:b/>
          <w:bCs/>
        </w:rPr>
        <w:t xml:space="preserve"> et redistribution</w:t>
      </w:r>
    </w:p>
    <w:p w14:paraId="512459F5" w14:textId="77777777" w:rsidR="003D2740" w:rsidRPr="003D2740" w:rsidRDefault="003D2740" w:rsidP="003D2740">
      <w:r w:rsidRPr="003D2740">
        <w:t>Le contrat intelligent ERC-20 permet :</w:t>
      </w:r>
    </w:p>
    <w:p w14:paraId="7A9BEA7C" w14:textId="77777777" w:rsidR="003D2740" w:rsidRPr="003D2740" w:rsidRDefault="003D2740" w:rsidP="003D2740">
      <w:pPr>
        <w:numPr>
          <w:ilvl w:val="0"/>
          <w:numId w:val="54"/>
        </w:numPr>
      </w:pPr>
      <w:r w:rsidRPr="003D2740">
        <w:t xml:space="preserve">Redistribution automatique des gains (USDC ou </w:t>
      </w:r>
      <w:proofErr w:type="spellStart"/>
      <w:r w:rsidRPr="003D2740">
        <w:t>stablecoin</w:t>
      </w:r>
      <w:proofErr w:type="spellEnd"/>
      <w:r w:rsidRPr="003D2740">
        <w:t>)</w:t>
      </w:r>
    </w:p>
    <w:p w14:paraId="4A7F991F" w14:textId="77777777" w:rsidR="003D2740" w:rsidRPr="003D2740" w:rsidRDefault="003D2740" w:rsidP="003D2740">
      <w:pPr>
        <w:numPr>
          <w:ilvl w:val="0"/>
          <w:numId w:val="54"/>
        </w:numPr>
      </w:pPr>
      <w:r w:rsidRPr="003D2740">
        <w:t>Transparence totale sur la blockchain</w:t>
      </w:r>
    </w:p>
    <w:p w14:paraId="1C2220B1" w14:textId="77777777" w:rsidR="003D2740" w:rsidRPr="003D2740" w:rsidRDefault="003D2740" w:rsidP="003D2740">
      <w:pPr>
        <w:numPr>
          <w:ilvl w:val="0"/>
          <w:numId w:val="54"/>
        </w:numPr>
      </w:pPr>
      <w:proofErr w:type="spellStart"/>
      <w:r w:rsidRPr="003D2740">
        <w:t>Auditabilité</w:t>
      </w:r>
      <w:proofErr w:type="spellEnd"/>
      <w:r w:rsidRPr="003D2740">
        <w:t xml:space="preserve"> et sécurité</w:t>
      </w:r>
    </w:p>
    <w:p w14:paraId="644CE563" w14:textId="77777777" w:rsidR="003D2740" w:rsidRPr="003D2740" w:rsidRDefault="003D2740" w:rsidP="003D2740">
      <w:r w:rsidRPr="003D2740">
        <w:pict w14:anchorId="08F27665">
          <v:rect id="_x0000_i1293" style="width:0;height:1.5pt" o:hralign="center" o:hrstd="t" o:hr="t" fillcolor="#a0a0a0" stroked="f"/>
        </w:pict>
      </w:r>
    </w:p>
    <w:p w14:paraId="750904EB" w14:textId="77777777" w:rsidR="003D2740" w:rsidRPr="003D2740" w:rsidRDefault="003D2740" w:rsidP="003D2740">
      <w:pPr>
        <w:rPr>
          <w:b/>
          <w:bCs/>
        </w:rPr>
      </w:pPr>
      <w:r w:rsidRPr="003D2740">
        <w:rPr>
          <w:b/>
          <w:bCs/>
        </w:rPr>
        <w:t>9. Roadmap</w:t>
      </w:r>
    </w:p>
    <w:p w14:paraId="760E922B" w14:textId="77777777" w:rsidR="003D2740" w:rsidRPr="003D2740" w:rsidRDefault="003D2740" w:rsidP="003D2740">
      <w:pPr>
        <w:rPr>
          <w:b/>
          <w:bCs/>
        </w:rPr>
      </w:pPr>
      <w:r w:rsidRPr="003D2740">
        <w:rPr>
          <w:b/>
          <w:bCs/>
        </w:rPr>
        <w:t>Phase 1 – Préparation technique &amp; juridique (T1 2025)</w:t>
      </w:r>
    </w:p>
    <w:p w14:paraId="280A83EB" w14:textId="77777777" w:rsidR="003D2740" w:rsidRPr="003D2740" w:rsidRDefault="003D2740" w:rsidP="003D2740">
      <w:pPr>
        <w:numPr>
          <w:ilvl w:val="0"/>
          <w:numId w:val="55"/>
        </w:numPr>
      </w:pPr>
      <w:r w:rsidRPr="003D2740">
        <w:t xml:space="preserve">Création de la SARL </w:t>
      </w:r>
      <w:proofErr w:type="spellStart"/>
      <w:r w:rsidRPr="003D2740">
        <w:t>HorseToken</w:t>
      </w:r>
      <w:proofErr w:type="spellEnd"/>
    </w:p>
    <w:p w14:paraId="3673916F" w14:textId="77777777" w:rsidR="003D2740" w:rsidRPr="003D2740" w:rsidRDefault="003D2740" w:rsidP="003D2740">
      <w:pPr>
        <w:numPr>
          <w:ilvl w:val="0"/>
          <w:numId w:val="55"/>
        </w:numPr>
      </w:pPr>
      <w:r w:rsidRPr="003D2740">
        <w:t xml:space="preserve">Développement et audit du smart </w:t>
      </w:r>
      <w:proofErr w:type="spellStart"/>
      <w:r w:rsidRPr="003D2740">
        <w:t>contract</w:t>
      </w:r>
      <w:proofErr w:type="spellEnd"/>
      <w:r w:rsidRPr="003D2740">
        <w:t xml:space="preserve"> HRTK (ERC-20)</w:t>
      </w:r>
    </w:p>
    <w:p w14:paraId="0A9F189C" w14:textId="77777777" w:rsidR="003D2740" w:rsidRPr="003D2740" w:rsidRDefault="003D2740" w:rsidP="003D2740">
      <w:pPr>
        <w:numPr>
          <w:ilvl w:val="0"/>
          <w:numId w:val="55"/>
        </w:numPr>
      </w:pPr>
      <w:r w:rsidRPr="003D2740">
        <w:t xml:space="preserve">Développement de l’application Web (achat de </w:t>
      </w:r>
      <w:proofErr w:type="spellStart"/>
      <w:r w:rsidRPr="003D2740">
        <w:t>tokens</w:t>
      </w:r>
      <w:proofErr w:type="spellEnd"/>
      <w:r w:rsidRPr="003D2740">
        <w:t xml:space="preserve">, </w:t>
      </w:r>
      <w:proofErr w:type="spellStart"/>
      <w:r w:rsidRPr="003D2740">
        <w:t>wallet</w:t>
      </w:r>
      <w:proofErr w:type="spellEnd"/>
      <w:r w:rsidRPr="003D2740">
        <w:t xml:space="preserve"> </w:t>
      </w:r>
      <w:proofErr w:type="spellStart"/>
      <w:r w:rsidRPr="003D2740">
        <w:t>connect</w:t>
      </w:r>
      <w:proofErr w:type="spellEnd"/>
      <w:r w:rsidRPr="003D2740">
        <w:t>, tableau de bord)</w:t>
      </w:r>
    </w:p>
    <w:p w14:paraId="147FBE83" w14:textId="77777777" w:rsidR="003D2740" w:rsidRPr="003D2740" w:rsidRDefault="003D2740" w:rsidP="003D2740">
      <w:pPr>
        <w:numPr>
          <w:ilvl w:val="0"/>
          <w:numId w:val="55"/>
        </w:numPr>
      </w:pPr>
      <w:r w:rsidRPr="003D2740">
        <w:t xml:space="preserve">Publication du </w:t>
      </w:r>
      <w:proofErr w:type="spellStart"/>
      <w:r w:rsidRPr="003D2740">
        <w:t>whitepaper</w:t>
      </w:r>
      <w:proofErr w:type="spellEnd"/>
      <w:r w:rsidRPr="003D2740">
        <w:t xml:space="preserve"> + ouverture du site Web</w:t>
      </w:r>
    </w:p>
    <w:p w14:paraId="03BC7705" w14:textId="77777777" w:rsidR="003D2740" w:rsidRPr="003D2740" w:rsidRDefault="003D2740" w:rsidP="003D2740">
      <w:pPr>
        <w:rPr>
          <w:b/>
          <w:bCs/>
        </w:rPr>
      </w:pPr>
      <w:r w:rsidRPr="003D2740">
        <w:rPr>
          <w:b/>
          <w:bCs/>
        </w:rPr>
        <w:t>Phase 2 – Lancement public (T2 2025)</w:t>
      </w:r>
    </w:p>
    <w:p w14:paraId="702E9C9B" w14:textId="77777777" w:rsidR="003D2740" w:rsidRPr="003D2740" w:rsidRDefault="003D2740" w:rsidP="003D2740">
      <w:pPr>
        <w:numPr>
          <w:ilvl w:val="0"/>
          <w:numId w:val="56"/>
        </w:numPr>
      </w:pPr>
      <w:r w:rsidRPr="003D2740">
        <w:t>Vente publique des HRTK via l’application Web</w:t>
      </w:r>
    </w:p>
    <w:p w14:paraId="473AE370" w14:textId="77777777" w:rsidR="003D2740" w:rsidRPr="003D2740" w:rsidRDefault="003D2740" w:rsidP="003D2740">
      <w:pPr>
        <w:numPr>
          <w:ilvl w:val="0"/>
          <w:numId w:val="56"/>
        </w:numPr>
      </w:pPr>
      <w:r w:rsidRPr="003D2740">
        <w:t>Constitution de la communauté (DAO, réseaux sociaux)</w:t>
      </w:r>
    </w:p>
    <w:p w14:paraId="393426B7" w14:textId="77777777" w:rsidR="003D2740" w:rsidRPr="003D2740" w:rsidRDefault="003D2740" w:rsidP="003D2740">
      <w:pPr>
        <w:numPr>
          <w:ilvl w:val="0"/>
          <w:numId w:val="56"/>
        </w:numPr>
      </w:pPr>
      <w:r w:rsidRPr="003D2740">
        <w:t>Collecte de fonds pour achat des premiers chevaux</w:t>
      </w:r>
    </w:p>
    <w:p w14:paraId="20BE0AF5" w14:textId="77777777" w:rsidR="003D2740" w:rsidRPr="003D2740" w:rsidRDefault="003D2740" w:rsidP="003D2740">
      <w:pPr>
        <w:rPr>
          <w:b/>
          <w:bCs/>
        </w:rPr>
      </w:pPr>
      <w:r w:rsidRPr="003D2740">
        <w:rPr>
          <w:b/>
          <w:bCs/>
        </w:rPr>
        <w:t>Phase 3 – Mise en course (T3 2025)</w:t>
      </w:r>
    </w:p>
    <w:p w14:paraId="35B70FA1" w14:textId="77777777" w:rsidR="003D2740" w:rsidRPr="003D2740" w:rsidRDefault="003D2740" w:rsidP="003D2740">
      <w:pPr>
        <w:numPr>
          <w:ilvl w:val="0"/>
          <w:numId w:val="57"/>
        </w:numPr>
      </w:pPr>
      <w:r w:rsidRPr="003D2740">
        <w:t>Acquisition des premiers chevaux par la SARL</w:t>
      </w:r>
    </w:p>
    <w:p w14:paraId="4ADF56EC" w14:textId="77777777" w:rsidR="003D2740" w:rsidRPr="003D2740" w:rsidRDefault="003D2740" w:rsidP="003D2740">
      <w:pPr>
        <w:numPr>
          <w:ilvl w:val="0"/>
          <w:numId w:val="57"/>
        </w:numPr>
      </w:pPr>
      <w:r w:rsidRPr="003D2740">
        <w:t>Début des mises en course et collecte des gains</w:t>
      </w:r>
    </w:p>
    <w:p w14:paraId="751687DA" w14:textId="77777777" w:rsidR="003D2740" w:rsidRPr="003D2740" w:rsidRDefault="003D2740" w:rsidP="003D2740">
      <w:pPr>
        <w:numPr>
          <w:ilvl w:val="0"/>
          <w:numId w:val="57"/>
        </w:numPr>
      </w:pPr>
      <w:r w:rsidRPr="003D2740">
        <w:t xml:space="preserve">Redistribution automatique via smart </w:t>
      </w:r>
      <w:proofErr w:type="spellStart"/>
      <w:r w:rsidRPr="003D2740">
        <w:t>contract</w:t>
      </w:r>
      <w:proofErr w:type="spellEnd"/>
    </w:p>
    <w:p w14:paraId="7C66BA84" w14:textId="77777777" w:rsidR="003D2740" w:rsidRPr="003D2740" w:rsidRDefault="003D2740" w:rsidP="003D2740">
      <w:pPr>
        <w:numPr>
          <w:ilvl w:val="0"/>
          <w:numId w:val="57"/>
        </w:numPr>
      </w:pPr>
      <w:r w:rsidRPr="003D2740">
        <w:t>Déploiement complet des fonctions DAO (propositions, votes)</w:t>
      </w:r>
    </w:p>
    <w:p w14:paraId="0C0E51C4" w14:textId="77777777" w:rsidR="003D2740" w:rsidRPr="003D2740" w:rsidRDefault="003D2740" w:rsidP="003D2740">
      <w:pPr>
        <w:rPr>
          <w:b/>
          <w:bCs/>
        </w:rPr>
      </w:pPr>
      <w:r w:rsidRPr="003D2740">
        <w:rPr>
          <w:b/>
          <w:bCs/>
        </w:rPr>
        <w:t xml:space="preserve">Phase 4 – Expansion &amp; intégration </w:t>
      </w:r>
      <w:proofErr w:type="spellStart"/>
      <w:r w:rsidRPr="003D2740">
        <w:rPr>
          <w:b/>
          <w:bCs/>
        </w:rPr>
        <w:t>DeFi</w:t>
      </w:r>
      <w:proofErr w:type="spellEnd"/>
      <w:r w:rsidRPr="003D2740">
        <w:rPr>
          <w:b/>
          <w:bCs/>
        </w:rPr>
        <w:t xml:space="preserve"> (T4 2025 - 2026)</w:t>
      </w:r>
    </w:p>
    <w:p w14:paraId="1C6390C4" w14:textId="77777777" w:rsidR="003D2740" w:rsidRPr="003D2740" w:rsidRDefault="003D2740" w:rsidP="003D2740">
      <w:pPr>
        <w:numPr>
          <w:ilvl w:val="0"/>
          <w:numId w:val="58"/>
        </w:numPr>
      </w:pPr>
      <w:r w:rsidRPr="003D2740">
        <w:t>Développement du portefeuille équin</w:t>
      </w:r>
    </w:p>
    <w:p w14:paraId="32B56A66" w14:textId="77777777" w:rsidR="003D2740" w:rsidRPr="003D2740" w:rsidRDefault="003D2740" w:rsidP="003D2740">
      <w:pPr>
        <w:numPr>
          <w:ilvl w:val="0"/>
          <w:numId w:val="58"/>
        </w:numPr>
      </w:pPr>
      <w:r w:rsidRPr="003D2740">
        <w:t xml:space="preserve">Ajout de fonctionnalités </w:t>
      </w:r>
      <w:proofErr w:type="spellStart"/>
      <w:r w:rsidRPr="003D2740">
        <w:t>DeFi</w:t>
      </w:r>
      <w:proofErr w:type="spellEnd"/>
      <w:r w:rsidRPr="003D2740">
        <w:t xml:space="preserve"> : </w:t>
      </w:r>
      <w:proofErr w:type="spellStart"/>
      <w:r w:rsidRPr="003D2740">
        <w:t>staking</w:t>
      </w:r>
      <w:proofErr w:type="spellEnd"/>
      <w:r w:rsidRPr="003D2740">
        <w:t xml:space="preserve"> HRTK, prêt, LP</w:t>
      </w:r>
    </w:p>
    <w:p w14:paraId="74BF918F" w14:textId="77777777" w:rsidR="003D2740" w:rsidRPr="003D2740" w:rsidRDefault="003D2740" w:rsidP="003D2740">
      <w:pPr>
        <w:numPr>
          <w:ilvl w:val="0"/>
          <w:numId w:val="58"/>
        </w:numPr>
      </w:pPr>
      <w:r w:rsidRPr="003D2740">
        <w:t>Partenariats avec autres écuries</w:t>
      </w:r>
    </w:p>
    <w:p w14:paraId="7440183A" w14:textId="77777777" w:rsidR="003D2740" w:rsidRPr="003D2740" w:rsidRDefault="003D2740" w:rsidP="003D2740">
      <w:pPr>
        <w:numPr>
          <w:ilvl w:val="0"/>
          <w:numId w:val="58"/>
        </w:numPr>
      </w:pPr>
      <w:r w:rsidRPr="003D2740">
        <w:t>Déploiement mobile et internationalisation</w:t>
      </w:r>
    </w:p>
    <w:p w14:paraId="59EE5DE2" w14:textId="77777777" w:rsidR="003D2740" w:rsidRPr="003D2740" w:rsidRDefault="003D2740" w:rsidP="003D2740">
      <w:r w:rsidRPr="003D2740">
        <w:pict w14:anchorId="58B4AF4C">
          <v:rect id="_x0000_i1294" style="width:0;height:1.5pt" o:hralign="center" o:hrstd="t" o:hr="t" fillcolor="#a0a0a0" stroked="f"/>
        </w:pict>
      </w:r>
    </w:p>
    <w:p w14:paraId="289487D6" w14:textId="77777777" w:rsidR="003D2740" w:rsidRPr="003D2740" w:rsidRDefault="003D2740" w:rsidP="003D2740">
      <w:pPr>
        <w:rPr>
          <w:b/>
          <w:bCs/>
        </w:rPr>
      </w:pPr>
      <w:r w:rsidRPr="003D2740">
        <w:rPr>
          <w:b/>
          <w:bCs/>
        </w:rPr>
        <w:lastRenderedPageBreak/>
        <w:t>10. Conclusion</w:t>
      </w:r>
    </w:p>
    <w:p w14:paraId="652BE353" w14:textId="77777777" w:rsidR="003D2740" w:rsidRPr="003D2740" w:rsidRDefault="003D2740" w:rsidP="003D2740">
      <w:proofErr w:type="spellStart"/>
      <w:r w:rsidRPr="003D2740">
        <w:t>HorseToken</w:t>
      </w:r>
      <w:proofErr w:type="spellEnd"/>
      <w:r w:rsidRPr="003D2740">
        <w:t xml:space="preserve"> allie le monde passionnant des courses hippiques à l’univers innovant du Web3. Son modèle hybride permet une gestion rigoureuse via une SARL centralisée, tout en impliquant une communauté active et transparente. Le choix d’un prix de </w:t>
      </w:r>
      <w:proofErr w:type="spellStart"/>
      <w:r w:rsidRPr="003D2740">
        <w:t>token</w:t>
      </w:r>
      <w:proofErr w:type="spellEnd"/>
      <w:r w:rsidRPr="003D2740">
        <w:t xml:space="preserve"> à 0,10 € et d’un total de 1 000 000 HRTK vise à favoriser une adoption large, à refléter les standards Web3, et à préparer une montée en puissance accessible et attractive.</w:t>
      </w:r>
    </w:p>
    <w:p w14:paraId="5FBCC509" w14:textId="77777777" w:rsidR="003D2740" w:rsidRPr="003D2740" w:rsidRDefault="003D2740" w:rsidP="003D2740">
      <w:r w:rsidRPr="003D2740">
        <w:t>Le projet se positionne comme un pont entre tradition et innovation, ancré dans l’économie réelle, et ouvert à une nouvelle génération d’investisseurs passionnés.</w:t>
      </w:r>
    </w:p>
    <w:p w14:paraId="7B0FA828" w14:textId="77777777" w:rsidR="003D256A" w:rsidRPr="003D2740" w:rsidRDefault="003D256A" w:rsidP="003D2740"/>
    <w:sectPr w:rsidR="003D256A" w:rsidRPr="003D27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D0CF8"/>
    <w:multiLevelType w:val="multilevel"/>
    <w:tmpl w:val="96663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97E8E"/>
    <w:multiLevelType w:val="multilevel"/>
    <w:tmpl w:val="C4A0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E2B3D"/>
    <w:multiLevelType w:val="multilevel"/>
    <w:tmpl w:val="024A2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15826"/>
    <w:multiLevelType w:val="multilevel"/>
    <w:tmpl w:val="05D6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02AC3"/>
    <w:multiLevelType w:val="multilevel"/>
    <w:tmpl w:val="7A188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073516"/>
    <w:multiLevelType w:val="multilevel"/>
    <w:tmpl w:val="7AB6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59426C"/>
    <w:multiLevelType w:val="multilevel"/>
    <w:tmpl w:val="F73EB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450D0"/>
    <w:multiLevelType w:val="multilevel"/>
    <w:tmpl w:val="FF82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B390B"/>
    <w:multiLevelType w:val="multilevel"/>
    <w:tmpl w:val="2A08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654D77"/>
    <w:multiLevelType w:val="multilevel"/>
    <w:tmpl w:val="05A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F4579"/>
    <w:multiLevelType w:val="multilevel"/>
    <w:tmpl w:val="0D82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1B6125"/>
    <w:multiLevelType w:val="multilevel"/>
    <w:tmpl w:val="162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763926"/>
    <w:multiLevelType w:val="multilevel"/>
    <w:tmpl w:val="71A2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72111F"/>
    <w:multiLevelType w:val="multilevel"/>
    <w:tmpl w:val="0122B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2E01FB"/>
    <w:multiLevelType w:val="multilevel"/>
    <w:tmpl w:val="5196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3E7B55"/>
    <w:multiLevelType w:val="multilevel"/>
    <w:tmpl w:val="8A5C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27E9C"/>
    <w:multiLevelType w:val="multilevel"/>
    <w:tmpl w:val="FD6A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6E675E"/>
    <w:multiLevelType w:val="multilevel"/>
    <w:tmpl w:val="9948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652B97"/>
    <w:multiLevelType w:val="multilevel"/>
    <w:tmpl w:val="17E0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930940"/>
    <w:multiLevelType w:val="multilevel"/>
    <w:tmpl w:val="359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B5FE3"/>
    <w:multiLevelType w:val="multilevel"/>
    <w:tmpl w:val="C4E0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03035C"/>
    <w:multiLevelType w:val="multilevel"/>
    <w:tmpl w:val="1E82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B3A81"/>
    <w:multiLevelType w:val="multilevel"/>
    <w:tmpl w:val="380E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A059C4"/>
    <w:multiLevelType w:val="multilevel"/>
    <w:tmpl w:val="EDE4E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0A3FD7"/>
    <w:multiLevelType w:val="multilevel"/>
    <w:tmpl w:val="A62EC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F02B4"/>
    <w:multiLevelType w:val="multilevel"/>
    <w:tmpl w:val="A38A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17119F"/>
    <w:multiLevelType w:val="multilevel"/>
    <w:tmpl w:val="4D704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63824"/>
    <w:multiLevelType w:val="multilevel"/>
    <w:tmpl w:val="13DA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84A30"/>
    <w:multiLevelType w:val="multilevel"/>
    <w:tmpl w:val="911C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C7BA5"/>
    <w:multiLevelType w:val="multilevel"/>
    <w:tmpl w:val="6E704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87341C"/>
    <w:multiLevelType w:val="multilevel"/>
    <w:tmpl w:val="AF9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F24F01"/>
    <w:multiLevelType w:val="multilevel"/>
    <w:tmpl w:val="1CF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4C7A47"/>
    <w:multiLevelType w:val="multilevel"/>
    <w:tmpl w:val="B748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6A7FCB"/>
    <w:multiLevelType w:val="multilevel"/>
    <w:tmpl w:val="B5D43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821CEB"/>
    <w:multiLevelType w:val="multilevel"/>
    <w:tmpl w:val="37C86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9260C0"/>
    <w:multiLevelType w:val="multilevel"/>
    <w:tmpl w:val="F12E1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4877DA"/>
    <w:multiLevelType w:val="multilevel"/>
    <w:tmpl w:val="69C29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9BE0914"/>
    <w:multiLevelType w:val="multilevel"/>
    <w:tmpl w:val="E8C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55E63"/>
    <w:multiLevelType w:val="multilevel"/>
    <w:tmpl w:val="A47A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542AC7"/>
    <w:multiLevelType w:val="multilevel"/>
    <w:tmpl w:val="9564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EFB7BBD"/>
    <w:multiLevelType w:val="multilevel"/>
    <w:tmpl w:val="C19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B315F6"/>
    <w:multiLevelType w:val="multilevel"/>
    <w:tmpl w:val="890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291D81"/>
    <w:multiLevelType w:val="multilevel"/>
    <w:tmpl w:val="04C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39754E9"/>
    <w:multiLevelType w:val="multilevel"/>
    <w:tmpl w:val="90582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46F4A8A"/>
    <w:multiLevelType w:val="multilevel"/>
    <w:tmpl w:val="92D2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CC40A6"/>
    <w:multiLevelType w:val="multilevel"/>
    <w:tmpl w:val="C5B0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645926"/>
    <w:multiLevelType w:val="multilevel"/>
    <w:tmpl w:val="B0DA0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0B53B2"/>
    <w:multiLevelType w:val="multilevel"/>
    <w:tmpl w:val="293E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1437F9"/>
    <w:multiLevelType w:val="multilevel"/>
    <w:tmpl w:val="1D300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7356CE"/>
    <w:multiLevelType w:val="multilevel"/>
    <w:tmpl w:val="AC3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1534D8"/>
    <w:multiLevelType w:val="multilevel"/>
    <w:tmpl w:val="DD9A0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1FD545E"/>
    <w:multiLevelType w:val="multilevel"/>
    <w:tmpl w:val="E178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270D12"/>
    <w:multiLevelType w:val="multilevel"/>
    <w:tmpl w:val="17B2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C9535D"/>
    <w:multiLevelType w:val="multilevel"/>
    <w:tmpl w:val="D7C64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54031A"/>
    <w:multiLevelType w:val="multilevel"/>
    <w:tmpl w:val="52FE5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A5C6DA1"/>
    <w:multiLevelType w:val="multilevel"/>
    <w:tmpl w:val="220C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155A17"/>
    <w:multiLevelType w:val="multilevel"/>
    <w:tmpl w:val="CDC0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836CB6"/>
    <w:multiLevelType w:val="multilevel"/>
    <w:tmpl w:val="8D3C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335569">
    <w:abstractNumId w:val="20"/>
  </w:num>
  <w:num w:numId="2" w16cid:durableId="1738549597">
    <w:abstractNumId w:val="26"/>
  </w:num>
  <w:num w:numId="3" w16cid:durableId="1436168164">
    <w:abstractNumId w:val="57"/>
  </w:num>
  <w:num w:numId="4" w16cid:durableId="1190072967">
    <w:abstractNumId w:val="51"/>
  </w:num>
  <w:num w:numId="5" w16cid:durableId="282881009">
    <w:abstractNumId w:val="48"/>
  </w:num>
  <w:num w:numId="6" w16cid:durableId="1125738317">
    <w:abstractNumId w:val="33"/>
  </w:num>
  <w:num w:numId="7" w16cid:durableId="1084955414">
    <w:abstractNumId w:val="30"/>
  </w:num>
  <w:num w:numId="8" w16cid:durableId="420028166">
    <w:abstractNumId w:val="28"/>
  </w:num>
  <w:num w:numId="9" w16cid:durableId="562757865">
    <w:abstractNumId w:val="42"/>
  </w:num>
  <w:num w:numId="10" w16cid:durableId="48266017">
    <w:abstractNumId w:val="6"/>
  </w:num>
  <w:num w:numId="11" w16cid:durableId="1076365928">
    <w:abstractNumId w:val="41"/>
  </w:num>
  <w:num w:numId="12" w16cid:durableId="1600990226">
    <w:abstractNumId w:val="36"/>
  </w:num>
  <w:num w:numId="13" w16cid:durableId="1670211391">
    <w:abstractNumId w:val="53"/>
  </w:num>
  <w:num w:numId="14" w16cid:durableId="2024621566">
    <w:abstractNumId w:val="9"/>
  </w:num>
  <w:num w:numId="15" w16cid:durableId="84495683">
    <w:abstractNumId w:val="54"/>
  </w:num>
  <w:num w:numId="16" w16cid:durableId="866872891">
    <w:abstractNumId w:val="32"/>
  </w:num>
  <w:num w:numId="17" w16cid:durableId="1624338729">
    <w:abstractNumId w:val="4"/>
  </w:num>
  <w:num w:numId="18" w16cid:durableId="1629506485">
    <w:abstractNumId w:val="3"/>
  </w:num>
  <w:num w:numId="19" w16cid:durableId="977761318">
    <w:abstractNumId w:val="22"/>
  </w:num>
  <w:num w:numId="20" w16cid:durableId="754546489">
    <w:abstractNumId w:val="21"/>
  </w:num>
  <w:num w:numId="21" w16cid:durableId="844369387">
    <w:abstractNumId w:val="2"/>
  </w:num>
  <w:num w:numId="22" w16cid:durableId="462504415">
    <w:abstractNumId w:val="5"/>
  </w:num>
  <w:num w:numId="23" w16cid:durableId="446311355">
    <w:abstractNumId w:val="23"/>
  </w:num>
  <w:num w:numId="24" w16cid:durableId="1687707339">
    <w:abstractNumId w:val="46"/>
  </w:num>
  <w:num w:numId="25" w16cid:durableId="884947395">
    <w:abstractNumId w:val="35"/>
  </w:num>
  <w:num w:numId="26" w16cid:durableId="30695577">
    <w:abstractNumId w:val="18"/>
  </w:num>
  <w:num w:numId="27" w16cid:durableId="363482521">
    <w:abstractNumId w:val="10"/>
  </w:num>
  <w:num w:numId="28" w16cid:durableId="1788816715">
    <w:abstractNumId w:val="19"/>
  </w:num>
  <w:num w:numId="29" w16cid:durableId="1379280830">
    <w:abstractNumId w:val="25"/>
  </w:num>
  <w:num w:numId="30" w16cid:durableId="299383905">
    <w:abstractNumId w:val="38"/>
  </w:num>
  <w:num w:numId="31" w16cid:durableId="250941357">
    <w:abstractNumId w:val="12"/>
  </w:num>
  <w:num w:numId="32" w16cid:durableId="409738077">
    <w:abstractNumId w:val="16"/>
  </w:num>
  <w:num w:numId="33" w16cid:durableId="1771926308">
    <w:abstractNumId w:val="56"/>
  </w:num>
  <w:num w:numId="34" w16cid:durableId="1780176119">
    <w:abstractNumId w:val="1"/>
  </w:num>
  <w:num w:numId="35" w16cid:durableId="418523915">
    <w:abstractNumId w:val="45"/>
  </w:num>
  <w:num w:numId="36" w16cid:durableId="1175150421">
    <w:abstractNumId w:val="55"/>
  </w:num>
  <w:num w:numId="37" w16cid:durableId="1694845414">
    <w:abstractNumId w:val="0"/>
  </w:num>
  <w:num w:numId="38" w16cid:durableId="1455556743">
    <w:abstractNumId w:val="29"/>
  </w:num>
  <w:num w:numId="39" w16cid:durableId="283736758">
    <w:abstractNumId w:val="43"/>
  </w:num>
  <w:num w:numId="40" w16cid:durableId="49619810">
    <w:abstractNumId w:val="52"/>
  </w:num>
  <w:num w:numId="41" w16cid:durableId="631907043">
    <w:abstractNumId w:val="7"/>
  </w:num>
  <w:num w:numId="42" w16cid:durableId="99028107">
    <w:abstractNumId w:val="11"/>
  </w:num>
  <w:num w:numId="43" w16cid:durableId="328487564">
    <w:abstractNumId w:val="39"/>
  </w:num>
  <w:num w:numId="44" w16cid:durableId="160854809">
    <w:abstractNumId w:val="8"/>
  </w:num>
  <w:num w:numId="45" w16cid:durableId="539170442">
    <w:abstractNumId w:val="37"/>
  </w:num>
  <w:num w:numId="46" w16cid:durableId="1749887403">
    <w:abstractNumId w:val="44"/>
  </w:num>
  <w:num w:numId="47" w16cid:durableId="2138522757">
    <w:abstractNumId w:val="50"/>
  </w:num>
  <w:num w:numId="48" w16cid:durableId="1416054690">
    <w:abstractNumId w:val="34"/>
  </w:num>
  <w:num w:numId="49" w16cid:durableId="867376724">
    <w:abstractNumId w:val="40"/>
  </w:num>
  <w:num w:numId="50" w16cid:durableId="1712269515">
    <w:abstractNumId w:val="27"/>
  </w:num>
  <w:num w:numId="51" w16cid:durableId="823200763">
    <w:abstractNumId w:val="14"/>
  </w:num>
  <w:num w:numId="52" w16cid:durableId="82455105">
    <w:abstractNumId w:val="31"/>
  </w:num>
  <w:num w:numId="53" w16cid:durableId="131410051">
    <w:abstractNumId w:val="24"/>
  </w:num>
  <w:num w:numId="54" w16cid:durableId="222521743">
    <w:abstractNumId w:val="47"/>
  </w:num>
  <w:num w:numId="55" w16cid:durableId="1154295337">
    <w:abstractNumId w:val="49"/>
  </w:num>
  <w:num w:numId="56" w16cid:durableId="1707365645">
    <w:abstractNumId w:val="15"/>
  </w:num>
  <w:num w:numId="57" w16cid:durableId="1356931184">
    <w:abstractNumId w:val="13"/>
  </w:num>
  <w:num w:numId="58" w16cid:durableId="91347220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7A8"/>
    <w:rsid w:val="00300456"/>
    <w:rsid w:val="0036201B"/>
    <w:rsid w:val="0039554E"/>
    <w:rsid w:val="003D256A"/>
    <w:rsid w:val="003D2740"/>
    <w:rsid w:val="006D5771"/>
    <w:rsid w:val="00833DA0"/>
    <w:rsid w:val="00A87BF6"/>
    <w:rsid w:val="00B21B07"/>
    <w:rsid w:val="00B247A8"/>
    <w:rsid w:val="00B55649"/>
    <w:rsid w:val="00C02EF8"/>
    <w:rsid w:val="00D968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A5FD"/>
  <w15:chartTrackingRefBased/>
  <w15:docId w15:val="{DB4D51F0-9E1B-4E0B-BDB3-C247CD9E2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247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247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247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247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247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247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247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247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247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47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247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247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247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247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247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247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247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247A8"/>
    <w:rPr>
      <w:rFonts w:eastAsiaTheme="majorEastAsia" w:cstheme="majorBidi"/>
      <w:color w:val="272727" w:themeColor="text1" w:themeTint="D8"/>
    </w:rPr>
  </w:style>
  <w:style w:type="paragraph" w:styleId="Titre">
    <w:name w:val="Title"/>
    <w:basedOn w:val="Normal"/>
    <w:next w:val="Normal"/>
    <w:link w:val="TitreCar"/>
    <w:uiPriority w:val="10"/>
    <w:qFormat/>
    <w:rsid w:val="00B247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47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247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247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247A8"/>
    <w:pPr>
      <w:spacing w:before="160"/>
      <w:jc w:val="center"/>
    </w:pPr>
    <w:rPr>
      <w:i/>
      <w:iCs/>
      <w:color w:val="404040" w:themeColor="text1" w:themeTint="BF"/>
    </w:rPr>
  </w:style>
  <w:style w:type="character" w:customStyle="1" w:styleId="CitationCar">
    <w:name w:val="Citation Car"/>
    <w:basedOn w:val="Policepardfaut"/>
    <w:link w:val="Citation"/>
    <w:uiPriority w:val="29"/>
    <w:rsid w:val="00B247A8"/>
    <w:rPr>
      <w:i/>
      <w:iCs/>
      <w:color w:val="404040" w:themeColor="text1" w:themeTint="BF"/>
    </w:rPr>
  </w:style>
  <w:style w:type="paragraph" w:styleId="Paragraphedeliste">
    <w:name w:val="List Paragraph"/>
    <w:basedOn w:val="Normal"/>
    <w:uiPriority w:val="34"/>
    <w:qFormat/>
    <w:rsid w:val="00B247A8"/>
    <w:pPr>
      <w:ind w:left="720"/>
      <w:contextualSpacing/>
    </w:pPr>
  </w:style>
  <w:style w:type="character" w:styleId="Accentuationintense">
    <w:name w:val="Intense Emphasis"/>
    <w:basedOn w:val="Policepardfaut"/>
    <w:uiPriority w:val="21"/>
    <w:qFormat/>
    <w:rsid w:val="00B247A8"/>
    <w:rPr>
      <w:i/>
      <w:iCs/>
      <w:color w:val="0F4761" w:themeColor="accent1" w:themeShade="BF"/>
    </w:rPr>
  </w:style>
  <w:style w:type="paragraph" w:styleId="Citationintense">
    <w:name w:val="Intense Quote"/>
    <w:basedOn w:val="Normal"/>
    <w:next w:val="Normal"/>
    <w:link w:val="CitationintenseCar"/>
    <w:uiPriority w:val="30"/>
    <w:qFormat/>
    <w:rsid w:val="00B247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247A8"/>
    <w:rPr>
      <w:i/>
      <w:iCs/>
      <w:color w:val="0F4761" w:themeColor="accent1" w:themeShade="BF"/>
    </w:rPr>
  </w:style>
  <w:style w:type="character" w:styleId="Rfrenceintense">
    <w:name w:val="Intense Reference"/>
    <w:basedOn w:val="Policepardfaut"/>
    <w:uiPriority w:val="32"/>
    <w:qFormat/>
    <w:rsid w:val="00B247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986175">
      <w:bodyDiv w:val="1"/>
      <w:marLeft w:val="0"/>
      <w:marRight w:val="0"/>
      <w:marTop w:val="0"/>
      <w:marBottom w:val="0"/>
      <w:divBdr>
        <w:top w:val="none" w:sz="0" w:space="0" w:color="auto"/>
        <w:left w:val="none" w:sz="0" w:space="0" w:color="auto"/>
        <w:bottom w:val="none" w:sz="0" w:space="0" w:color="auto"/>
        <w:right w:val="none" w:sz="0" w:space="0" w:color="auto"/>
      </w:divBdr>
    </w:div>
    <w:div w:id="442967740">
      <w:bodyDiv w:val="1"/>
      <w:marLeft w:val="0"/>
      <w:marRight w:val="0"/>
      <w:marTop w:val="0"/>
      <w:marBottom w:val="0"/>
      <w:divBdr>
        <w:top w:val="none" w:sz="0" w:space="0" w:color="auto"/>
        <w:left w:val="none" w:sz="0" w:space="0" w:color="auto"/>
        <w:bottom w:val="none" w:sz="0" w:space="0" w:color="auto"/>
        <w:right w:val="none" w:sz="0" w:space="0" w:color="auto"/>
      </w:divBdr>
    </w:div>
    <w:div w:id="1042096063">
      <w:bodyDiv w:val="1"/>
      <w:marLeft w:val="0"/>
      <w:marRight w:val="0"/>
      <w:marTop w:val="0"/>
      <w:marBottom w:val="0"/>
      <w:divBdr>
        <w:top w:val="none" w:sz="0" w:space="0" w:color="auto"/>
        <w:left w:val="none" w:sz="0" w:space="0" w:color="auto"/>
        <w:bottom w:val="none" w:sz="0" w:space="0" w:color="auto"/>
        <w:right w:val="none" w:sz="0" w:space="0" w:color="auto"/>
      </w:divBdr>
    </w:div>
    <w:div w:id="1111318446">
      <w:bodyDiv w:val="1"/>
      <w:marLeft w:val="0"/>
      <w:marRight w:val="0"/>
      <w:marTop w:val="0"/>
      <w:marBottom w:val="0"/>
      <w:divBdr>
        <w:top w:val="none" w:sz="0" w:space="0" w:color="auto"/>
        <w:left w:val="none" w:sz="0" w:space="0" w:color="auto"/>
        <w:bottom w:val="none" w:sz="0" w:space="0" w:color="auto"/>
        <w:right w:val="none" w:sz="0" w:space="0" w:color="auto"/>
      </w:divBdr>
    </w:div>
    <w:div w:id="1147623620">
      <w:bodyDiv w:val="1"/>
      <w:marLeft w:val="0"/>
      <w:marRight w:val="0"/>
      <w:marTop w:val="0"/>
      <w:marBottom w:val="0"/>
      <w:divBdr>
        <w:top w:val="none" w:sz="0" w:space="0" w:color="auto"/>
        <w:left w:val="none" w:sz="0" w:space="0" w:color="auto"/>
        <w:bottom w:val="none" w:sz="0" w:space="0" w:color="auto"/>
        <w:right w:val="none" w:sz="0" w:space="0" w:color="auto"/>
      </w:divBdr>
    </w:div>
    <w:div w:id="1509980608">
      <w:bodyDiv w:val="1"/>
      <w:marLeft w:val="0"/>
      <w:marRight w:val="0"/>
      <w:marTop w:val="0"/>
      <w:marBottom w:val="0"/>
      <w:divBdr>
        <w:top w:val="none" w:sz="0" w:space="0" w:color="auto"/>
        <w:left w:val="none" w:sz="0" w:space="0" w:color="auto"/>
        <w:bottom w:val="none" w:sz="0" w:space="0" w:color="auto"/>
        <w:right w:val="none" w:sz="0" w:space="0" w:color="auto"/>
      </w:divBdr>
    </w:div>
    <w:div w:id="1738017865">
      <w:bodyDiv w:val="1"/>
      <w:marLeft w:val="0"/>
      <w:marRight w:val="0"/>
      <w:marTop w:val="0"/>
      <w:marBottom w:val="0"/>
      <w:divBdr>
        <w:top w:val="none" w:sz="0" w:space="0" w:color="auto"/>
        <w:left w:val="none" w:sz="0" w:space="0" w:color="auto"/>
        <w:bottom w:val="none" w:sz="0" w:space="0" w:color="auto"/>
        <w:right w:val="none" w:sz="0" w:space="0" w:color="auto"/>
      </w:divBdr>
    </w:div>
    <w:div w:id="1746298595">
      <w:bodyDiv w:val="1"/>
      <w:marLeft w:val="0"/>
      <w:marRight w:val="0"/>
      <w:marTop w:val="0"/>
      <w:marBottom w:val="0"/>
      <w:divBdr>
        <w:top w:val="none" w:sz="0" w:space="0" w:color="auto"/>
        <w:left w:val="none" w:sz="0" w:space="0" w:color="auto"/>
        <w:bottom w:val="none" w:sz="0" w:space="0" w:color="auto"/>
        <w:right w:val="none" w:sz="0" w:space="0" w:color="auto"/>
      </w:divBdr>
    </w:div>
    <w:div w:id="1834836302">
      <w:bodyDiv w:val="1"/>
      <w:marLeft w:val="0"/>
      <w:marRight w:val="0"/>
      <w:marTop w:val="0"/>
      <w:marBottom w:val="0"/>
      <w:divBdr>
        <w:top w:val="none" w:sz="0" w:space="0" w:color="auto"/>
        <w:left w:val="none" w:sz="0" w:space="0" w:color="auto"/>
        <w:bottom w:val="none" w:sz="0" w:space="0" w:color="auto"/>
        <w:right w:val="none" w:sz="0" w:space="0" w:color="auto"/>
      </w:divBdr>
    </w:div>
    <w:div w:id="191577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e564c54-4c7b-49de-b3d8-f0233932ace5}" enabled="1" method="Privileged" siteId="{f4f6b57d-47a1-4875-bd9b-4260c557ccbf}" contentBits="0" removed="0"/>
</clbl:labelList>
</file>

<file path=docProps/app.xml><?xml version="1.0" encoding="utf-8"?>
<Properties xmlns="http://schemas.openxmlformats.org/officeDocument/2006/extended-properties" xmlns:vt="http://schemas.openxmlformats.org/officeDocument/2006/docPropsVTypes">
  <Template>Normal.dotm</Template>
  <TotalTime>57</TotalTime>
  <Pages>4</Pages>
  <Words>788</Words>
  <Characters>4336</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LALAGUE</dc:creator>
  <cp:keywords/>
  <dc:description/>
  <cp:lastModifiedBy>Michel LALAGUE</cp:lastModifiedBy>
  <cp:revision>6</cp:revision>
  <dcterms:created xsi:type="dcterms:W3CDTF">2025-05-25T11:43:00Z</dcterms:created>
  <dcterms:modified xsi:type="dcterms:W3CDTF">2025-05-26T06:58:00Z</dcterms:modified>
</cp:coreProperties>
</file>