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1F669588" w14:textId="77777777" w:rsidR="00C26659" w:rsidRPr="00C26659" w:rsidRDefault="00C26659" w:rsidP="00C26659">
      <w:pPr>
        <w:rPr>
          <w:rFonts w:ascii="Arial" w:hAnsi="Arial" w:cs="Arial"/>
          <w:color w:val="000000" w:themeColor="text1"/>
        </w:rPr>
      </w:pPr>
      <w:r w:rsidRPr="00C26659">
        <w:rPr>
          <w:rFonts w:ascii="Arial" w:hAnsi="Arial" w:cs="Arial"/>
          <w:color w:val="000000" w:themeColor="text1"/>
        </w:rPr>
        <w:t>Based on the recent Exploratory Data Analysis (EDA) and predictive modeling of Geldium's customer dataset, we have identified several key indicators and segments that are highly susceptible to delinquency. By shifting from reactive collections to proactive intervention, we can significantly reduce default rates.</w:t>
      </w:r>
    </w:p>
    <w:p w14:paraId="3D83471E" w14:textId="77777777" w:rsidR="00C26659" w:rsidRPr="00C26659" w:rsidRDefault="00C26659" w:rsidP="00C26659">
      <w:pPr>
        <w:rPr>
          <w:rFonts w:ascii="Arial" w:hAnsi="Arial" w:cs="Arial"/>
          <w:b/>
          <w:bCs/>
          <w:color w:val="000000" w:themeColor="text1"/>
        </w:rPr>
      </w:pPr>
      <w:r w:rsidRPr="00C26659">
        <w:rPr>
          <w:rFonts w:ascii="Arial" w:hAnsi="Arial" w:cs="Arial"/>
          <w:b/>
          <w:bCs/>
          <w:color w:val="000000" w:themeColor="text1"/>
        </w:rPr>
        <w:t>Top 3 Risk Factors for Delinquency:</w:t>
      </w:r>
    </w:p>
    <w:p w14:paraId="704C1307" w14:textId="77777777" w:rsidR="00C26659" w:rsidRPr="00C26659" w:rsidRDefault="00C26659" w:rsidP="00C26659">
      <w:pPr>
        <w:rPr>
          <w:rFonts w:ascii="Arial" w:hAnsi="Arial" w:cs="Arial"/>
          <w:color w:val="000000" w:themeColor="text1"/>
        </w:rPr>
      </w:pPr>
      <w:r w:rsidRPr="00C26659">
        <w:rPr>
          <w:rFonts w:ascii="Arial" w:hAnsi="Arial" w:cs="Arial"/>
          <w:color w:val="000000" w:themeColor="text1"/>
        </w:rPr>
        <w:t>High Debt-to-Income (DTI) Ratio: Customers dedicating a large portion of their monthly income to debt service are the most vulnerable to economic shocks.</w:t>
      </w:r>
    </w:p>
    <w:p w14:paraId="3182D82C" w14:textId="77777777" w:rsidR="00C26659" w:rsidRPr="00C26659" w:rsidRDefault="00C26659" w:rsidP="00C26659">
      <w:pPr>
        <w:rPr>
          <w:rFonts w:ascii="Arial" w:hAnsi="Arial" w:cs="Arial"/>
          <w:color w:val="000000" w:themeColor="text1"/>
        </w:rPr>
      </w:pPr>
      <w:r w:rsidRPr="00C26659">
        <w:rPr>
          <w:rFonts w:ascii="Arial" w:hAnsi="Arial" w:cs="Arial"/>
          <w:color w:val="000000" w:themeColor="text1"/>
        </w:rPr>
        <w:t>Elevated Credit Utilization: Customers utilizing more than 75% of their available credit limit demonstrate a high reliance on credit for daily liquidity, strongly correlating with future missed payments.</w:t>
      </w:r>
    </w:p>
    <w:p w14:paraId="03ABE7BB" w14:textId="77777777" w:rsidR="00C26659" w:rsidRPr="00C26659" w:rsidRDefault="00C26659" w:rsidP="00C26659">
      <w:pPr>
        <w:rPr>
          <w:rFonts w:ascii="Arial" w:hAnsi="Arial" w:cs="Arial"/>
          <w:color w:val="000000" w:themeColor="text1"/>
        </w:rPr>
      </w:pPr>
      <w:r w:rsidRPr="00C26659">
        <w:rPr>
          <w:rFonts w:ascii="Arial" w:hAnsi="Arial" w:cs="Arial"/>
          <w:color w:val="000000" w:themeColor="text1"/>
        </w:rPr>
        <w:t>Consecutive Recent Missed Payments: The combination of a missed payment in Month 1 followed by another in Month 2 is the strongest behavioral indicator of an impending total default.</w:t>
      </w:r>
    </w:p>
    <w:p w14:paraId="74E598F1" w14:textId="77777777" w:rsidR="00C26659" w:rsidRPr="00C26659" w:rsidRDefault="00C26659" w:rsidP="00C26659">
      <w:pPr>
        <w:rPr>
          <w:rFonts w:ascii="Arial" w:hAnsi="Arial" w:cs="Arial"/>
          <w:b/>
          <w:bCs/>
          <w:color w:val="000000" w:themeColor="text1"/>
        </w:rPr>
      </w:pPr>
      <w:r w:rsidRPr="00C26659">
        <w:rPr>
          <w:rFonts w:ascii="Arial" w:hAnsi="Arial" w:cs="Arial"/>
          <w:b/>
          <w:bCs/>
          <w:color w:val="000000" w:themeColor="text1"/>
        </w:rPr>
        <w:t>Key High-Risk Segments:</w:t>
      </w:r>
    </w:p>
    <w:p w14:paraId="2729559B" w14:textId="77777777" w:rsidR="00C26659" w:rsidRPr="00C26659" w:rsidRDefault="00C26659" w:rsidP="00C26659">
      <w:pPr>
        <w:rPr>
          <w:rFonts w:ascii="Arial" w:hAnsi="Arial" w:cs="Arial"/>
          <w:color w:val="000000" w:themeColor="text1"/>
        </w:rPr>
      </w:pPr>
      <w:r w:rsidRPr="00C26659">
        <w:rPr>
          <w:rFonts w:ascii="Arial" w:hAnsi="Arial" w:cs="Arial"/>
          <w:color w:val="000000" w:themeColor="text1"/>
        </w:rPr>
        <w:t xml:space="preserve">1. Self-Employed Individuals with High DTI: This segment </w:t>
      </w:r>
      <w:proofErr w:type="gramStart"/>
      <w:r w:rsidRPr="00C26659">
        <w:rPr>
          <w:rFonts w:ascii="Arial" w:hAnsi="Arial" w:cs="Arial"/>
          <w:color w:val="000000" w:themeColor="text1"/>
        </w:rPr>
        <w:t>carries</w:t>
      </w:r>
      <w:proofErr w:type="gramEnd"/>
      <w:r w:rsidRPr="00C26659">
        <w:rPr>
          <w:rFonts w:ascii="Arial" w:hAnsi="Arial" w:cs="Arial"/>
          <w:color w:val="000000" w:themeColor="text1"/>
        </w:rPr>
        <w:t xml:space="preserve"> high 'good debt' (business expenses) but experiences variable income, making them uniquely vulnerable to short-term cash flow crunches.</w:t>
      </w:r>
      <w:r w:rsidRPr="00C26659">
        <w:rPr>
          <w:rFonts w:ascii="Arial" w:hAnsi="Arial" w:cs="Arial"/>
          <w:color w:val="000000" w:themeColor="text1"/>
        </w:rPr>
        <w:br/>
        <w:t>2. Middle-Aged Customers (30-50) in High-Cost Locations: These customers often carry large mortgages. When combined with sudden high credit utilization, their delinquency risk spikes dramatically.</w:t>
      </w:r>
    </w:p>
    <w:p w14:paraId="60F471FE" w14:textId="2DF35B10" w:rsidR="007D72C2" w:rsidRDefault="007D72C2">
      <w:pPr>
        <w:rPr>
          <w:rFonts w:ascii="Arial" w:hAnsi="Arial" w:cs="Arial"/>
          <w:color w:val="000000" w:themeColor="text1"/>
        </w:rPr>
      </w:pPr>
    </w:p>
    <w:tbl>
      <w:tblPr>
        <w:tblW w:w="5020" w:type="pct"/>
        <w:tblCellMar>
          <w:left w:w="30" w:type="dxa"/>
          <w:right w:w="30" w:type="dxa"/>
        </w:tblCellMar>
        <w:tblLook w:val="0000" w:firstRow="0" w:lastRow="0" w:firstColumn="0" w:lastColumn="0" w:noHBand="0" w:noVBand="0"/>
      </w:tblPr>
      <w:tblGrid>
        <w:gridCol w:w="1117"/>
        <w:gridCol w:w="1494"/>
        <w:gridCol w:w="3898"/>
        <w:gridCol w:w="2226"/>
      </w:tblGrid>
      <w:tr w:rsidR="00A537D1" w:rsidRPr="00A537D1" w14:paraId="36311A05" w14:textId="77777777" w:rsidTr="00160E64">
        <w:trPr>
          <w:trHeight w:val="335"/>
        </w:trPr>
        <w:tc>
          <w:tcPr>
            <w:tcW w:w="639"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Potential Impact</w:t>
            </w:r>
          </w:p>
        </w:tc>
      </w:tr>
      <w:tr w:rsidR="00A537D1" w:rsidRPr="00A537D1" w14:paraId="4217145F" w14:textId="77777777" w:rsidTr="00160E64">
        <w:trPr>
          <w:trHeight w:val="789"/>
        </w:trPr>
        <w:tc>
          <w:tcPr>
            <w:tcW w:w="639" w:type="pct"/>
            <w:tcBorders>
              <w:top w:val="single" w:sz="6" w:space="0" w:color="auto"/>
              <w:left w:val="single" w:sz="6" w:space="0" w:color="auto"/>
              <w:bottom w:val="single" w:sz="6" w:space="0" w:color="auto"/>
              <w:right w:val="single" w:sz="6" w:space="0" w:color="auto"/>
            </w:tcBorders>
          </w:tcPr>
          <w:p w14:paraId="64B1E497" w14:textId="77777777" w:rsidR="00A537D1" w:rsidRDefault="0004504F" w:rsidP="00A537D1">
            <w:pPr>
              <w:rPr>
                <w:rFonts w:ascii="Arial" w:hAnsi="Arial" w:cs="Arial"/>
                <w:color w:val="000000" w:themeColor="text1"/>
                <w:sz w:val="20"/>
                <w:szCs w:val="20"/>
              </w:rPr>
            </w:pPr>
            <w:r w:rsidRPr="0004504F">
              <w:rPr>
                <w:rFonts w:ascii="Arial" w:hAnsi="Arial" w:cs="Arial"/>
                <w:color w:val="000000" w:themeColor="text1"/>
                <w:sz w:val="20"/>
                <w:szCs w:val="20"/>
              </w:rPr>
              <w:t>Utilization Spikes</w:t>
            </w:r>
          </w:p>
          <w:p w14:paraId="65D23226" w14:textId="77777777" w:rsidR="00BF5891" w:rsidRDefault="00BF5891" w:rsidP="00A537D1">
            <w:pPr>
              <w:rPr>
                <w:rFonts w:ascii="Arial" w:hAnsi="Arial" w:cs="Arial"/>
                <w:color w:val="000000" w:themeColor="text1"/>
                <w:sz w:val="20"/>
                <w:szCs w:val="20"/>
              </w:rPr>
            </w:pPr>
          </w:p>
          <w:p w14:paraId="262E6ACA" w14:textId="77777777" w:rsidR="00BF5891" w:rsidRDefault="00BF5891" w:rsidP="00A537D1">
            <w:pPr>
              <w:rPr>
                <w:rFonts w:ascii="Arial" w:hAnsi="Arial" w:cs="Arial"/>
                <w:color w:val="000000" w:themeColor="text1"/>
                <w:sz w:val="20"/>
                <w:szCs w:val="20"/>
              </w:rPr>
            </w:pPr>
          </w:p>
          <w:p w14:paraId="14BFF5A1" w14:textId="5C6F543D" w:rsidR="00F40D9E" w:rsidRPr="00A537D1" w:rsidRDefault="00B81B83" w:rsidP="00A537D1">
            <w:pPr>
              <w:rPr>
                <w:rFonts w:ascii="Arial" w:hAnsi="Arial" w:cs="Arial"/>
                <w:color w:val="000000" w:themeColor="text1"/>
                <w:sz w:val="20"/>
                <w:szCs w:val="20"/>
                <w:lang w:val="en-GB"/>
              </w:rPr>
            </w:pPr>
            <w:r w:rsidRPr="00B81B83">
              <w:rPr>
                <w:rFonts w:ascii="Arial" w:hAnsi="Arial" w:cs="Arial"/>
                <w:color w:val="000000" w:themeColor="text1"/>
                <w:sz w:val="20"/>
                <w:szCs w:val="20"/>
              </w:rPr>
              <w:lastRenderedPageBreak/>
              <w:t>Variable Income Squeeze</w:t>
            </w:r>
          </w:p>
        </w:tc>
        <w:tc>
          <w:tcPr>
            <w:tcW w:w="855" w:type="pct"/>
            <w:tcBorders>
              <w:top w:val="single" w:sz="6" w:space="0" w:color="auto"/>
              <w:left w:val="single" w:sz="6" w:space="0" w:color="auto"/>
              <w:bottom w:val="single" w:sz="6" w:space="0" w:color="auto"/>
              <w:right w:val="single" w:sz="6" w:space="0" w:color="auto"/>
            </w:tcBorders>
          </w:tcPr>
          <w:p w14:paraId="19BE3CC9" w14:textId="77777777" w:rsidR="00A537D1" w:rsidRDefault="00AF11BE" w:rsidP="00A537D1">
            <w:pPr>
              <w:rPr>
                <w:rFonts w:ascii="Arial" w:hAnsi="Arial" w:cs="Arial"/>
                <w:color w:val="000000" w:themeColor="text1"/>
                <w:sz w:val="20"/>
                <w:szCs w:val="20"/>
              </w:rPr>
            </w:pPr>
            <w:r w:rsidRPr="00AF11BE">
              <w:rPr>
                <w:rFonts w:ascii="Arial" w:hAnsi="Arial" w:cs="Arial"/>
                <w:color w:val="000000" w:themeColor="text1"/>
                <w:sz w:val="20"/>
                <w:szCs w:val="20"/>
              </w:rPr>
              <w:lastRenderedPageBreak/>
              <w:t>Accounts &gt; 3 years old</w:t>
            </w:r>
          </w:p>
          <w:p w14:paraId="31162708" w14:textId="77777777" w:rsidR="00BF5891" w:rsidRDefault="00BF5891" w:rsidP="00A537D1">
            <w:pPr>
              <w:rPr>
                <w:rFonts w:ascii="Arial" w:hAnsi="Arial" w:cs="Arial"/>
                <w:color w:val="000000" w:themeColor="text1"/>
                <w:sz w:val="20"/>
                <w:szCs w:val="20"/>
              </w:rPr>
            </w:pPr>
          </w:p>
          <w:p w14:paraId="02B45224" w14:textId="77777777" w:rsidR="00BF5891" w:rsidRDefault="00BF5891" w:rsidP="00A537D1">
            <w:pPr>
              <w:rPr>
                <w:rFonts w:ascii="Arial" w:hAnsi="Arial" w:cs="Arial"/>
                <w:color w:val="000000" w:themeColor="text1"/>
                <w:sz w:val="20"/>
                <w:szCs w:val="20"/>
              </w:rPr>
            </w:pPr>
          </w:p>
          <w:p w14:paraId="233EE3BA" w14:textId="573CE7DD" w:rsidR="004574D7" w:rsidRPr="00A537D1" w:rsidRDefault="00F2682F" w:rsidP="00A537D1">
            <w:pPr>
              <w:rPr>
                <w:rFonts w:ascii="Arial" w:hAnsi="Arial" w:cs="Arial"/>
                <w:color w:val="000000" w:themeColor="text1"/>
                <w:sz w:val="20"/>
                <w:szCs w:val="20"/>
                <w:lang w:val="en-GB"/>
              </w:rPr>
            </w:pPr>
            <w:r w:rsidRPr="00F2682F">
              <w:rPr>
                <w:rFonts w:ascii="Arial" w:hAnsi="Arial" w:cs="Arial"/>
                <w:color w:val="000000" w:themeColor="text1"/>
                <w:sz w:val="20"/>
                <w:szCs w:val="20"/>
              </w:rPr>
              <w:lastRenderedPageBreak/>
              <w:t>Self-employed / Freelancers</w:t>
            </w:r>
          </w:p>
        </w:tc>
        <w:tc>
          <w:tcPr>
            <w:tcW w:w="2231" w:type="pct"/>
            <w:tcBorders>
              <w:top w:val="single" w:sz="6" w:space="0" w:color="auto"/>
              <w:left w:val="single" w:sz="6" w:space="0" w:color="auto"/>
              <w:bottom w:val="single" w:sz="6" w:space="0" w:color="auto"/>
              <w:right w:val="single" w:sz="6" w:space="0" w:color="auto"/>
            </w:tcBorders>
          </w:tcPr>
          <w:p w14:paraId="2FFB7694" w14:textId="77777777" w:rsidR="00A537D1" w:rsidRDefault="0089119B" w:rsidP="00A537D1">
            <w:pPr>
              <w:rPr>
                <w:rFonts w:ascii="Arial" w:hAnsi="Arial" w:cs="Arial"/>
                <w:color w:val="000000" w:themeColor="text1"/>
                <w:sz w:val="20"/>
                <w:szCs w:val="20"/>
              </w:rPr>
            </w:pPr>
            <w:r w:rsidRPr="0089119B">
              <w:rPr>
                <w:rFonts w:ascii="Arial" w:hAnsi="Arial" w:cs="Arial"/>
                <w:color w:val="000000" w:themeColor="text1"/>
                <w:sz w:val="20"/>
                <w:szCs w:val="20"/>
              </w:rPr>
              <w:lastRenderedPageBreak/>
              <w:t>Credit Utilization, Month 1 Payment</w:t>
            </w:r>
          </w:p>
          <w:p w14:paraId="026A6B8B" w14:textId="77777777" w:rsidR="00DA0402" w:rsidRDefault="00DA0402" w:rsidP="00A537D1">
            <w:pPr>
              <w:rPr>
                <w:rFonts w:ascii="Arial" w:hAnsi="Arial" w:cs="Arial"/>
                <w:color w:val="000000" w:themeColor="text1"/>
                <w:sz w:val="20"/>
                <w:szCs w:val="20"/>
                <w:lang w:val="en-GB"/>
              </w:rPr>
            </w:pPr>
          </w:p>
          <w:p w14:paraId="3A0306A2" w14:textId="77777777" w:rsidR="00DA0402" w:rsidRDefault="00DA0402" w:rsidP="00A537D1">
            <w:pPr>
              <w:rPr>
                <w:rFonts w:ascii="Arial" w:hAnsi="Arial" w:cs="Arial"/>
                <w:color w:val="000000" w:themeColor="text1"/>
                <w:sz w:val="20"/>
                <w:szCs w:val="20"/>
                <w:lang w:val="en-GB"/>
              </w:rPr>
            </w:pPr>
          </w:p>
          <w:p w14:paraId="3EB31FED" w14:textId="27D0CFF4" w:rsidR="00DA0402" w:rsidRPr="00A537D1" w:rsidRDefault="00B1275B" w:rsidP="00A537D1">
            <w:pPr>
              <w:rPr>
                <w:rFonts w:ascii="Arial" w:hAnsi="Arial" w:cs="Arial"/>
                <w:color w:val="000000" w:themeColor="text1"/>
                <w:sz w:val="20"/>
                <w:szCs w:val="20"/>
                <w:lang w:val="en-GB"/>
              </w:rPr>
            </w:pPr>
            <w:r w:rsidRPr="00B1275B">
              <w:rPr>
                <w:rFonts w:ascii="Arial" w:hAnsi="Arial" w:cs="Arial"/>
                <w:color w:val="000000" w:themeColor="text1"/>
                <w:sz w:val="20"/>
                <w:szCs w:val="20"/>
              </w:rPr>
              <w:lastRenderedPageBreak/>
              <w:t>Debt-to-Income, Employment Status</w:t>
            </w:r>
          </w:p>
        </w:tc>
        <w:tc>
          <w:tcPr>
            <w:tcW w:w="1274" w:type="pct"/>
            <w:tcBorders>
              <w:top w:val="single" w:sz="6" w:space="0" w:color="auto"/>
              <w:left w:val="single" w:sz="6" w:space="0" w:color="auto"/>
              <w:bottom w:val="single" w:sz="6" w:space="0" w:color="auto"/>
              <w:right w:val="single" w:sz="6" w:space="0" w:color="auto"/>
            </w:tcBorders>
          </w:tcPr>
          <w:p w14:paraId="4299ABFD" w14:textId="77777777" w:rsidR="00A537D1" w:rsidRDefault="009F458F" w:rsidP="00A537D1">
            <w:pPr>
              <w:rPr>
                <w:rFonts w:ascii="Arial" w:hAnsi="Arial" w:cs="Arial"/>
                <w:color w:val="000000" w:themeColor="text1"/>
                <w:sz w:val="20"/>
                <w:szCs w:val="20"/>
              </w:rPr>
            </w:pPr>
            <w:r w:rsidRPr="009F458F">
              <w:rPr>
                <w:rFonts w:ascii="Arial" w:hAnsi="Arial" w:cs="Arial"/>
                <w:color w:val="000000" w:themeColor="text1"/>
                <w:sz w:val="20"/>
                <w:szCs w:val="20"/>
              </w:rPr>
              <w:lastRenderedPageBreak/>
              <w:t>Early intervention can prevent 60-day defaults</w:t>
            </w:r>
          </w:p>
          <w:p w14:paraId="58787129" w14:textId="77777777" w:rsidR="00B1275B" w:rsidRDefault="00B1275B" w:rsidP="00A537D1">
            <w:pPr>
              <w:rPr>
                <w:rFonts w:ascii="Arial" w:hAnsi="Arial" w:cs="Arial"/>
                <w:color w:val="000000" w:themeColor="text1"/>
                <w:sz w:val="20"/>
                <w:szCs w:val="20"/>
                <w:lang w:val="en-GB"/>
              </w:rPr>
            </w:pPr>
          </w:p>
          <w:p w14:paraId="783349C1" w14:textId="77777777" w:rsidR="00B1275B" w:rsidRDefault="00B1275B" w:rsidP="00A537D1">
            <w:pPr>
              <w:rPr>
                <w:rFonts w:ascii="Arial" w:hAnsi="Arial" w:cs="Arial"/>
                <w:color w:val="000000" w:themeColor="text1"/>
                <w:sz w:val="20"/>
                <w:szCs w:val="20"/>
                <w:lang w:val="en-GB"/>
              </w:rPr>
            </w:pPr>
          </w:p>
          <w:p w14:paraId="78DC9A44" w14:textId="6302280F" w:rsidR="00B1275B" w:rsidRPr="00A537D1" w:rsidRDefault="00BC5567" w:rsidP="00A537D1">
            <w:pPr>
              <w:rPr>
                <w:rFonts w:ascii="Arial" w:hAnsi="Arial" w:cs="Arial"/>
                <w:color w:val="000000" w:themeColor="text1"/>
                <w:sz w:val="20"/>
                <w:szCs w:val="20"/>
                <w:lang w:val="en-GB"/>
              </w:rPr>
            </w:pPr>
            <w:r w:rsidRPr="00BC5567">
              <w:rPr>
                <w:rFonts w:ascii="Arial" w:hAnsi="Arial" w:cs="Arial"/>
                <w:color w:val="000000" w:themeColor="text1"/>
                <w:sz w:val="20"/>
                <w:szCs w:val="20"/>
              </w:rPr>
              <w:lastRenderedPageBreak/>
              <w:t>Targeted flexible payment plans can retain these high-value accounts</w:t>
            </w:r>
          </w:p>
        </w:tc>
      </w:tr>
    </w:tbl>
    <w:p w14:paraId="50978634" w14:textId="77777777" w:rsidR="00A537D1" w:rsidRPr="00A537D1" w:rsidRDefault="00A537D1">
      <w:pPr>
        <w:rPr>
          <w:rFonts w:ascii="Arial" w:hAnsi="Arial" w:cs="Arial"/>
          <w:color w:val="000000" w:themeColor="text1"/>
        </w:rPr>
      </w:pPr>
    </w:p>
    <w:p w14:paraId="72833B3F" w14:textId="77777777" w:rsidR="007D72C2"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0F5954DA" w14:textId="77777777" w:rsidR="00CC14A2" w:rsidRPr="00CC14A2" w:rsidRDefault="00CC14A2" w:rsidP="00CC14A2">
      <w:pPr>
        <w:rPr>
          <w:b/>
          <w:bCs/>
        </w:rPr>
      </w:pPr>
      <w:r w:rsidRPr="00CC14A2">
        <w:rPr>
          <w:b/>
          <w:bCs/>
        </w:rPr>
        <w:t>Restated Insight:</w:t>
      </w:r>
    </w:p>
    <w:p w14:paraId="7118EAE9" w14:textId="77777777" w:rsidR="00CC14A2" w:rsidRPr="00CC14A2" w:rsidRDefault="00CC14A2" w:rsidP="00CC14A2">
      <w:r w:rsidRPr="00CC14A2">
        <w:t>High credit utilization (&gt;75%) combined with a recently missed payment sharply increases the likelihood of an account falling into 60+ day delinquency.</w:t>
      </w:r>
    </w:p>
    <w:p w14:paraId="63F8E3EE" w14:textId="77777777" w:rsidR="00CC14A2" w:rsidRPr="00CC14A2" w:rsidRDefault="00CC14A2" w:rsidP="00CC14A2">
      <w:pPr>
        <w:rPr>
          <w:b/>
          <w:bCs/>
        </w:rPr>
      </w:pPr>
      <w:r w:rsidRPr="00CC14A2">
        <w:rPr>
          <w:b/>
          <w:bCs/>
        </w:rPr>
        <w:t>Proposed Recommendation (SMART):</w:t>
      </w:r>
    </w:p>
    <w:p w14:paraId="5E4D01E4" w14:textId="77777777" w:rsidR="00CC14A2" w:rsidRPr="00CC14A2" w:rsidRDefault="00CC14A2" w:rsidP="00CC14A2">
      <w:r w:rsidRPr="00CC14A2">
        <w:t>Launch a 'Proactive Repayment Pilot' program that automatically offers flexible installment plans to high-utilization customers immediately after their first missed payment.</w:t>
      </w:r>
    </w:p>
    <w:p w14:paraId="4B4E7F43" w14:textId="77777777" w:rsidR="00CC14A2" w:rsidRPr="00CC14A2" w:rsidRDefault="00CC14A2" w:rsidP="00CC14A2">
      <w:pPr>
        <w:rPr>
          <w:b/>
          <w:bCs/>
        </w:rPr>
      </w:pPr>
      <w:r w:rsidRPr="00CC14A2">
        <w:rPr>
          <w:b/>
          <w:bCs/>
        </w:rPr>
        <w:t>SMART Breakdown:</w:t>
      </w:r>
    </w:p>
    <w:p w14:paraId="1D751BB6" w14:textId="77777777" w:rsidR="00CC14A2" w:rsidRPr="00CC14A2" w:rsidRDefault="00CC14A2" w:rsidP="00CC14A2">
      <w:r w:rsidRPr="00CC14A2">
        <w:t>Specific: Automatically send pre-approved, flexible installment plan offers (via email and SMS) to customers exceeding 75% credit utilization within 5 days of their first missed payment.</w:t>
      </w:r>
    </w:p>
    <w:p w14:paraId="30B4DDF3" w14:textId="77777777" w:rsidR="00CC14A2" w:rsidRPr="00CC14A2" w:rsidRDefault="00CC14A2" w:rsidP="00CC14A2">
      <w:r w:rsidRPr="00CC14A2">
        <w:t>Measurable: Achieve a 15% reduction in 60-day delinquency rates for this targeted cohort compared to the historical baseline.</w:t>
      </w:r>
    </w:p>
    <w:p w14:paraId="25B37C09" w14:textId="77777777" w:rsidR="00CC14A2" w:rsidRPr="00CC14A2" w:rsidRDefault="00CC14A2" w:rsidP="00CC14A2">
      <w:r w:rsidRPr="00CC14A2">
        <w:t>Actionable: The Collections team will partner with IT to set up automated triggers in the CRM based on the predictive model's risk scores.</w:t>
      </w:r>
    </w:p>
    <w:p w14:paraId="71AA270E" w14:textId="77777777" w:rsidR="00CC14A2" w:rsidRPr="00CC14A2" w:rsidRDefault="00CC14A2" w:rsidP="00CC14A2">
      <w:r w:rsidRPr="00CC14A2">
        <w:t>Relevant: This approach aligns with Geldium's goal of retaining customers and minimizing bad debt by helping them manage obligations before they snowball.</w:t>
      </w:r>
    </w:p>
    <w:p w14:paraId="27A9305C" w14:textId="77777777" w:rsidR="00CC14A2" w:rsidRPr="00CC14A2" w:rsidRDefault="00CC14A2" w:rsidP="00CC14A2">
      <w:r w:rsidRPr="00CC14A2">
        <w:t>Time-bound: Launch the pilot program by the start of Q3 and conduct a full performance evaluation by the end of Q4.</w:t>
      </w:r>
    </w:p>
    <w:p w14:paraId="20B0FF08" w14:textId="77777777" w:rsidR="00CC14A2" w:rsidRPr="00CC14A2" w:rsidRDefault="00CC14A2" w:rsidP="00CC14A2">
      <w:pPr>
        <w:rPr>
          <w:b/>
          <w:bCs/>
        </w:rPr>
      </w:pPr>
      <w:r w:rsidRPr="00CC14A2">
        <w:rPr>
          <w:b/>
          <w:bCs/>
        </w:rPr>
        <w:t>Justification and Business Rationale:</w:t>
      </w:r>
    </w:p>
    <w:p w14:paraId="120A8409" w14:textId="19760ACE" w:rsidR="00CC14A2" w:rsidRPr="00CC14A2" w:rsidRDefault="00CC14A2" w:rsidP="00CC14A2">
      <w:r w:rsidRPr="00CC14A2">
        <w:t>Traditional collections processes wait until an account is severely past due to offer help, by which time the customer is often overwhelmed. By using AI to identify the exact moment a customer exhibits high-risk behavior, we can intervene with a supportive solution. This reduces Geldium's operational collection costs, decreases write-offs, and improves customer trust.</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lastRenderedPageBreak/>
        <w:t>3. Ethical and Responsible AI Considerations</w:t>
      </w:r>
    </w:p>
    <w:p w14:paraId="432F4E3E" w14:textId="77777777" w:rsidR="000C72B3" w:rsidRPr="000C72B3" w:rsidRDefault="000C72B3" w:rsidP="000C72B3">
      <w:pPr>
        <w:rPr>
          <w:rFonts w:ascii="Arial" w:hAnsi="Arial" w:cs="Arial"/>
          <w:color w:val="000000" w:themeColor="text1"/>
        </w:rPr>
      </w:pPr>
      <w:r w:rsidRPr="000C72B3">
        <w:rPr>
          <w:rFonts w:ascii="Arial" w:hAnsi="Arial" w:cs="Arial"/>
          <w:color w:val="000000" w:themeColor="text1"/>
        </w:rPr>
        <w:t xml:space="preserve">As we integrate predictive modeling into our </w:t>
      </w:r>
      <w:proofErr w:type="gramStart"/>
      <w:r w:rsidRPr="000C72B3">
        <w:rPr>
          <w:rFonts w:ascii="Arial" w:hAnsi="Arial" w:cs="Arial"/>
          <w:color w:val="000000" w:themeColor="text1"/>
        </w:rPr>
        <w:t>collections</w:t>
      </w:r>
      <w:proofErr w:type="gramEnd"/>
      <w:r w:rsidRPr="000C72B3">
        <w:rPr>
          <w:rFonts w:ascii="Arial" w:hAnsi="Arial" w:cs="Arial"/>
          <w:color w:val="000000" w:themeColor="text1"/>
        </w:rPr>
        <w:t xml:space="preserve"> strategy, Geldium must prioritize fairness, transparency, and regulatory compliance (such as the Equal Credit Opportunity Act).</w:t>
      </w:r>
    </w:p>
    <w:p w14:paraId="08D97712" w14:textId="77777777" w:rsidR="000C72B3" w:rsidRPr="000C72B3" w:rsidRDefault="000C72B3" w:rsidP="000C72B3">
      <w:pPr>
        <w:rPr>
          <w:rFonts w:ascii="Arial" w:hAnsi="Arial" w:cs="Arial"/>
          <w:b/>
          <w:bCs/>
          <w:color w:val="000000" w:themeColor="text1"/>
        </w:rPr>
      </w:pPr>
      <w:r w:rsidRPr="000C72B3">
        <w:rPr>
          <w:rFonts w:ascii="Arial" w:hAnsi="Arial" w:cs="Arial"/>
          <w:b/>
          <w:bCs/>
          <w:color w:val="000000" w:themeColor="text1"/>
        </w:rPr>
        <w:t>Fairness Risks and Mitigation Strategies:</w:t>
      </w:r>
    </w:p>
    <w:p w14:paraId="19B99926" w14:textId="77777777" w:rsidR="000C72B3" w:rsidRPr="000C72B3" w:rsidRDefault="000C72B3" w:rsidP="000C72B3">
      <w:pPr>
        <w:rPr>
          <w:rFonts w:ascii="Arial" w:hAnsi="Arial" w:cs="Arial"/>
          <w:color w:val="000000" w:themeColor="text1"/>
        </w:rPr>
      </w:pPr>
      <w:r w:rsidRPr="000C72B3">
        <w:rPr>
          <w:rFonts w:ascii="Arial" w:hAnsi="Arial" w:cs="Arial"/>
          <w:color w:val="000000" w:themeColor="text1"/>
        </w:rPr>
        <w:t xml:space="preserve">Risk 1: Employment Status Bias. Our initial models showed a tendency to penalize self-employed individuals unfairly. Because they often carry higher business-related debt, the algorithm misinterprets their Debt-to-Income ratio as a standard consumer risk. </w:t>
      </w:r>
      <w:r w:rsidRPr="000C72B3">
        <w:rPr>
          <w:rFonts w:ascii="Arial" w:hAnsi="Arial" w:cs="Arial"/>
          <w:color w:val="000000" w:themeColor="text1"/>
        </w:rPr>
        <w:br/>
        <w:t>Mitigation: We will mitigate this by segmenting the model or applying threshold tuning (adjusting the probability cutoff for self-employed individuals) to ensure equal False Positive Rates across employment types.</w:t>
      </w:r>
    </w:p>
    <w:p w14:paraId="003515B5" w14:textId="77777777" w:rsidR="000C72B3" w:rsidRPr="000C72B3" w:rsidRDefault="000C72B3" w:rsidP="000C72B3">
      <w:pPr>
        <w:rPr>
          <w:rFonts w:ascii="Arial" w:hAnsi="Arial" w:cs="Arial"/>
          <w:color w:val="000000" w:themeColor="text1"/>
        </w:rPr>
      </w:pPr>
      <w:r w:rsidRPr="000C72B3">
        <w:rPr>
          <w:rFonts w:ascii="Arial" w:hAnsi="Arial" w:cs="Arial"/>
          <w:color w:val="000000" w:themeColor="text1"/>
        </w:rPr>
        <w:t xml:space="preserve">Risk 2: Geographical Proxy Bias (Redlining). The model may inadvertently associate high cost-of-living areas (like New York) with high risk due to larger baseline mortgages, acting as a proxy for socioeconomic or demographic profiling. </w:t>
      </w:r>
      <w:r w:rsidRPr="000C72B3">
        <w:rPr>
          <w:rFonts w:ascii="Arial" w:hAnsi="Arial" w:cs="Arial"/>
          <w:color w:val="000000" w:themeColor="text1"/>
        </w:rPr>
        <w:br/>
        <w:t>Mitigation: We will regularly conduct Disparate Impact Analysis testing to ensure error rates do not disproportionately affect specific locations. If detected, data weights will be recalibrated.</w:t>
      </w:r>
    </w:p>
    <w:p w14:paraId="0F8E7E80" w14:textId="77777777" w:rsidR="000C72B3" w:rsidRPr="000C72B3" w:rsidRDefault="000C72B3" w:rsidP="000C72B3">
      <w:pPr>
        <w:rPr>
          <w:rFonts w:ascii="Arial" w:hAnsi="Arial" w:cs="Arial"/>
          <w:b/>
          <w:bCs/>
          <w:color w:val="000000" w:themeColor="text1"/>
        </w:rPr>
      </w:pPr>
      <w:r w:rsidRPr="000C72B3">
        <w:rPr>
          <w:rFonts w:ascii="Arial" w:hAnsi="Arial" w:cs="Arial"/>
          <w:b/>
          <w:bCs/>
          <w:color w:val="000000" w:themeColor="text1"/>
        </w:rPr>
        <w:t>Explainability and Transparency:</w:t>
      </w:r>
    </w:p>
    <w:p w14:paraId="68979B63" w14:textId="77777777" w:rsidR="000C72B3" w:rsidRPr="000C72B3" w:rsidRDefault="000C72B3" w:rsidP="000C72B3">
      <w:pPr>
        <w:rPr>
          <w:rFonts w:ascii="Arial" w:hAnsi="Arial" w:cs="Arial"/>
          <w:color w:val="000000" w:themeColor="text1"/>
        </w:rPr>
      </w:pPr>
      <w:r w:rsidRPr="000C72B3">
        <w:rPr>
          <w:rFonts w:ascii="Arial" w:hAnsi="Arial" w:cs="Arial"/>
          <w:color w:val="000000" w:themeColor="text1"/>
        </w:rPr>
        <w:t>To ensure our predictions are easily understood by non-technical stakeholders (and the customers themselves), we will avoid 'black-box' neural networks. Instead, we are utilizing tree-based models (like Random Forest) that allow us to extract exact 'Reason Codes'. If a customer's credit limit is adjusted, we can explicitly state: 'This decision was based on your recent credit utilization and missed payment history,' rather than relying on an opaque AI score.</w:t>
      </w:r>
    </w:p>
    <w:p w14:paraId="33EC1793" w14:textId="669D6442" w:rsidR="007D72C2" w:rsidRPr="00A537D1" w:rsidRDefault="007D72C2">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4F"/>
    <w:rsid w:val="000605A1"/>
    <w:rsid w:val="0006063C"/>
    <w:rsid w:val="000C72B3"/>
    <w:rsid w:val="000D6136"/>
    <w:rsid w:val="0015074B"/>
    <w:rsid w:val="00160E64"/>
    <w:rsid w:val="001730B1"/>
    <w:rsid w:val="0029639D"/>
    <w:rsid w:val="00326F90"/>
    <w:rsid w:val="003E0F5E"/>
    <w:rsid w:val="003F370C"/>
    <w:rsid w:val="004574D7"/>
    <w:rsid w:val="00480635"/>
    <w:rsid w:val="007A1539"/>
    <w:rsid w:val="007D72C2"/>
    <w:rsid w:val="008237CA"/>
    <w:rsid w:val="0089119B"/>
    <w:rsid w:val="009F458F"/>
    <w:rsid w:val="00A537D1"/>
    <w:rsid w:val="00A63E98"/>
    <w:rsid w:val="00AA1D8D"/>
    <w:rsid w:val="00AE7C0C"/>
    <w:rsid w:val="00AF11BE"/>
    <w:rsid w:val="00B1275B"/>
    <w:rsid w:val="00B47730"/>
    <w:rsid w:val="00B81B83"/>
    <w:rsid w:val="00BC5567"/>
    <w:rsid w:val="00BF5891"/>
    <w:rsid w:val="00C26659"/>
    <w:rsid w:val="00CB0664"/>
    <w:rsid w:val="00CC14A2"/>
    <w:rsid w:val="00DA0402"/>
    <w:rsid w:val="00F2682F"/>
    <w:rsid w:val="00F40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Lalasa</cp:lastModifiedBy>
  <cp:revision>25</cp:revision>
  <dcterms:created xsi:type="dcterms:W3CDTF">2026-05-24T07:04:00Z</dcterms:created>
  <dcterms:modified xsi:type="dcterms:W3CDTF">2026-05-24T07:20:00Z</dcterms:modified>
  <cp:category/>
</cp:coreProperties>
</file>