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Comment organiser sa rétention d’information et organiser ses connaissances</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https://www.journaldunet.fr/web-tech/guide-de-l-entreprise-digitale/1443808-notion-22022022/</w:t>
      </w:r>
    </w:p>
    <w:p w:rsidR="00000000" w:rsidDel="00000000" w:rsidP="00000000" w:rsidRDefault="00000000" w:rsidRPr="00000000" w14:paraId="0000000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02/2023</w:t>
      </w:r>
    </w:p>
    <w:p w:rsidR="00000000" w:rsidDel="00000000" w:rsidP="00000000" w:rsidRDefault="00000000" w:rsidRPr="00000000" w14:paraId="0000000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connaissances, informations, notes, organisation</w:t>
      </w:r>
    </w:p>
    <w:p w:rsidR="00000000" w:rsidDel="00000000" w:rsidP="00000000" w:rsidRDefault="00000000" w:rsidRPr="00000000" w14:paraId="0000000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Cet article présente Notion, une plateforme de travail tout-en-un qui combine des fonctionnalités de gestion de projet, de gestion de documents et de prise de notes. Notion offre des fonctionnalités telles que des tableaux de bord personnalisables, des calendriers, des listes de tâches, des notes et des bases de données.</w:t>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L'article souligne l'aspect flexible et personnalisable de Notion, qui permet aux équipes de créer des espaces de travail adaptés à leurs besoins spécifiques. La plateforme peut être utilisée pour gérer des projets, organiser des documents, planifier des événements et plus encore.</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En fin de compte, l'article souligne que Notion peut aider les équipes à améliorer leur productivité et leur efficacité en fournissant un espace de travail centralisé pour toutes leurs tâches et projets.</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pPr>
      <w:r w:rsidDel="00000000" w:rsidR="00000000" w:rsidRPr="00000000">
        <w:rPr>
          <w:rFonts w:ascii="Arial" w:cs="Arial" w:eastAsia="Arial" w:hAnsi="Arial"/>
          <w:rtl w:val="0"/>
        </w:rPr>
        <w:t xml:space="preserve">Notion est un merveilleux outil d’organisation et de prise de note en vue de retenir et emmagasiner des connaissances. Il peut être collaboratif et est déjà utilisé par de nombreuses entreprises, même de moyenne taille.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