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6D735D00" w14:textId="15F61592" w:rsidR="00D7522C" w:rsidRPr="00E338B9" w:rsidRDefault="00E338B9" w:rsidP="00E338B9">
      <w:pPr>
        <w:pStyle w:val="Author"/>
        <w:spacing w:before="5pt" w:beforeAutospacing="1" w:after="5pt" w:afterAutospacing="1"/>
        <w:rPr>
          <w:rFonts w:eastAsia="MS Mincho"/>
          <w:sz w:val="48"/>
          <w:szCs w:val="48"/>
        </w:rPr>
      </w:pPr>
      <w:r>
        <w:rPr>
          <w:rFonts w:eastAsia="MS Mincho"/>
          <w:sz w:val="48"/>
          <w:szCs w:val="48"/>
          <w:lang w:val="en-IN" w:eastAsia="en-IN"/>
        </w:rPr>
        <w:drawing>
          <wp:anchor distT="0" distB="0" distL="114300" distR="114300" simplePos="0" relativeHeight="251658240" behindDoc="1" locked="0" layoutInCell="1" allowOverlap="1" wp14:anchorId="4BF826E1" wp14:editId="564482E4">
            <wp:simplePos x="0" y="0"/>
            <wp:positionH relativeFrom="column">
              <wp:posOffset>827405</wp:posOffset>
            </wp:positionH>
            <wp:positionV relativeFrom="paragraph">
              <wp:posOffset>1059180</wp:posOffset>
            </wp:positionV>
            <wp:extent cx="5074920" cy="1615440"/>
            <wp:effectExtent l="0" t="0" r="0" b="3810"/>
            <wp:wrapTight wrapText="bothSides">
              <wp:wrapPolygon edited="0">
                <wp:start x="243" y="0"/>
                <wp:lineTo x="243" y="21396"/>
                <wp:lineTo x="21324" y="21396"/>
                <wp:lineTo x="21324" y="0"/>
                <wp:lineTo x="243" y="0"/>
              </wp:wrapPolygon>
            </wp:wrapTight>
            <wp:docPr id="1" name="Text Box 1"/>
            <wp:cNvGraphicFramePr/>
            <a:graphic xmlns:a="http://purl.oclc.org/ooxml/drawingml/main">
              <a:graphicData uri="http://schemas.microsoft.com/office/word/2010/wordprocessingShape">
                <wp:wsp>
                  <wp:cNvSpPr txBox="1"/>
                  <wp:spPr>
                    <a:xfrm>
                      <a:off x="0" y="0"/>
                      <a:ext cx="5074920" cy="1615440"/>
                    </a:xfrm>
                    <a:prstGeom prst="rect">
                      <a:avLst/>
                    </a:prstGeom>
                    <a:noFill/>
                    <a:ln w="6350">
                      <a:noFill/>
                    </a:ln>
                  </wp:spPr>
                  <wp:txbx>
                    <wne:txbxContent>
                      <w:p w14:paraId="3A8F1EC2" w14:textId="77777777" w:rsidR="002F4BD1" w:rsidRDefault="00E338B9" w:rsidP="002F4BD1">
                        <w:pPr>
                          <w:spacing w:line="9.60pt" w:lineRule="auto"/>
                          <w:jc w:val="start"/>
                          <w:rPr>
                            <w:sz w:val="24"/>
                            <w:szCs w:val="24"/>
                            <w:vertAlign w:val="superscript"/>
                            <w:lang w:val="en-IN"/>
                          </w:rPr>
                        </w:pPr>
                        <w:r>
                          <w:rPr>
                            <w:sz w:val="24"/>
                            <w:szCs w:val="24"/>
                            <w:vertAlign w:val="superscript"/>
                            <w:lang w:val="en-IN"/>
                          </w:rPr>
                          <w:t xml:space="preserve">         </w:t>
                        </w:r>
                      </w:p>
                      <w:p w14:paraId="20A548A6" w14:textId="11308BB6" w:rsidR="00E338B9" w:rsidRPr="00E338B9" w:rsidRDefault="002F4BD1" w:rsidP="002F4BD1">
                        <w:pPr>
                          <w:spacing w:line="9.60pt" w:lineRule="auto"/>
                          <w:jc w:val="start"/>
                          <w:rPr>
                            <w:b/>
                            <w:sz w:val="24"/>
                            <w:szCs w:val="24"/>
                            <w:vertAlign w:val="superscript"/>
                            <w:lang w:val="en-IN"/>
                          </w:rPr>
                        </w:pPr>
                        <w:r>
                          <w:rPr>
                            <w:sz w:val="24"/>
                            <w:szCs w:val="24"/>
                            <w:vertAlign w:val="superscript"/>
                            <w:lang w:val="en-IN"/>
                          </w:rPr>
                          <w:t xml:space="preserve">      </w:t>
                        </w:r>
                        <w:r w:rsidR="00E338B9">
                          <w:rPr>
                            <w:sz w:val="24"/>
                            <w:szCs w:val="24"/>
                            <w:vertAlign w:val="superscript"/>
                            <w:lang w:val="en-IN"/>
                          </w:rPr>
                          <w:t xml:space="preserve"> </w:t>
                        </w:r>
                        <w:r>
                          <w:rPr>
                            <w:sz w:val="24"/>
                            <w:szCs w:val="24"/>
                            <w:vertAlign w:val="superscript"/>
                            <w:lang w:val="en-IN"/>
                          </w:rPr>
                          <w:t xml:space="preserve">   </w:t>
                        </w:r>
                        <w:r w:rsidR="00E338B9" w:rsidRPr="00E338B9">
                          <w:rPr>
                            <w:b/>
                            <w:sz w:val="24"/>
                            <w:szCs w:val="24"/>
                            <w:vertAlign w:val="superscript"/>
                            <w:lang w:val="en-IN"/>
                          </w:rPr>
                          <w:t>Kunjika Agarwal</w:t>
                        </w:r>
                        <w:r w:rsidR="00E338B9">
                          <w:rPr>
                            <w:b/>
                            <w:sz w:val="24"/>
                            <w:szCs w:val="24"/>
                            <w:vertAlign w:val="superscript"/>
                            <w:lang w:val="en-IN"/>
                          </w:rPr>
                          <w:tab/>
                        </w:r>
                        <w:r w:rsidR="00E338B9">
                          <w:rPr>
                            <w:b/>
                            <w:sz w:val="24"/>
                            <w:szCs w:val="24"/>
                            <w:vertAlign w:val="superscript"/>
                            <w:lang w:val="en-IN"/>
                          </w:rPr>
                          <w:tab/>
                        </w:r>
                        <w:r w:rsidR="00E338B9">
                          <w:rPr>
                            <w:b/>
                            <w:sz w:val="24"/>
                            <w:szCs w:val="24"/>
                            <w:vertAlign w:val="superscript"/>
                            <w:lang w:val="en-IN"/>
                          </w:rPr>
                          <w:tab/>
                        </w:r>
                        <w:r w:rsidR="00E338B9">
                          <w:rPr>
                            <w:b/>
                            <w:sz w:val="24"/>
                            <w:szCs w:val="24"/>
                            <w:vertAlign w:val="superscript"/>
                            <w:lang w:val="en-IN"/>
                          </w:rPr>
                          <w:tab/>
                        </w:r>
                        <w:r w:rsidR="00E338B9">
                          <w:rPr>
                            <w:b/>
                            <w:sz w:val="24"/>
                            <w:szCs w:val="24"/>
                            <w:vertAlign w:val="superscript"/>
                            <w:lang w:val="en-IN"/>
                          </w:rPr>
                          <w:tab/>
                          <w:t xml:space="preserve">     </w:t>
                        </w:r>
                        <w:r>
                          <w:rPr>
                            <w:b/>
                            <w:sz w:val="24"/>
                            <w:szCs w:val="24"/>
                            <w:vertAlign w:val="superscript"/>
                            <w:lang w:val="en-IN"/>
                          </w:rPr>
                          <w:t xml:space="preserve">  </w:t>
                        </w:r>
                        <w:r w:rsidR="00E338B9">
                          <w:rPr>
                            <w:b/>
                            <w:sz w:val="24"/>
                            <w:szCs w:val="24"/>
                            <w:vertAlign w:val="superscript"/>
                            <w:lang w:val="en-IN"/>
                          </w:rPr>
                          <w:t>Lalit Kumar Badhotiya</w:t>
                        </w:r>
                      </w:p>
                      <w:p w14:paraId="6EF022AA" w14:textId="61C67447" w:rsidR="00E338B9" w:rsidRDefault="00E338B9" w:rsidP="002F4BD1">
                        <w:pPr>
                          <w:spacing w:line="9.60pt" w:lineRule="auto"/>
                          <w:jc w:val="start"/>
                          <w:rPr>
                            <w:sz w:val="24"/>
                            <w:szCs w:val="24"/>
                            <w:vertAlign w:val="superscript"/>
                            <w:lang w:val="en-IN"/>
                          </w:rPr>
                        </w:pPr>
                        <w:r>
                          <w:rPr>
                            <w:sz w:val="24"/>
                            <w:szCs w:val="24"/>
                            <w:vertAlign w:val="superscript"/>
                            <w:lang w:val="en-IN"/>
                          </w:rPr>
                          <w:t>Department of Computer Science</w:t>
                        </w:r>
                        <w:r>
                          <w:rPr>
                            <w:sz w:val="24"/>
                            <w:szCs w:val="24"/>
                            <w:vertAlign w:val="superscript"/>
                            <w:lang w:val="en-IN"/>
                          </w:rPr>
                          <w:tab/>
                        </w:r>
                        <w:r>
                          <w:rPr>
                            <w:sz w:val="24"/>
                            <w:szCs w:val="24"/>
                            <w:vertAlign w:val="superscript"/>
                            <w:lang w:val="en-IN"/>
                          </w:rPr>
                          <w:tab/>
                        </w:r>
                        <w:r>
                          <w:rPr>
                            <w:sz w:val="24"/>
                            <w:szCs w:val="24"/>
                            <w:vertAlign w:val="superscript"/>
                            <w:lang w:val="en-IN"/>
                          </w:rPr>
                          <w:tab/>
                        </w:r>
                        <w:r>
                          <w:rPr>
                            <w:sz w:val="24"/>
                            <w:szCs w:val="24"/>
                            <w:vertAlign w:val="superscript"/>
                            <w:lang w:val="en-IN"/>
                          </w:rPr>
                          <w:tab/>
                        </w:r>
                        <w:r>
                          <w:rPr>
                            <w:sz w:val="24"/>
                            <w:szCs w:val="24"/>
                            <w:vertAlign w:val="superscript"/>
                            <w:lang w:val="en-IN"/>
                          </w:rPr>
                          <w:tab/>
                          <w:t>Department of Computer Science</w:t>
                        </w:r>
                        <w:r>
                          <w:rPr>
                            <w:sz w:val="24"/>
                            <w:szCs w:val="24"/>
                            <w:vertAlign w:val="superscript"/>
                            <w:lang w:val="en-IN"/>
                          </w:rPr>
                          <w:tab/>
                        </w:r>
                      </w:p>
                      <w:p w14:paraId="6B6EAF30" w14:textId="0B9E8967" w:rsidR="00E338B9" w:rsidRDefault="00E338B9" w:rsidP="002F4BD1">
                        <w:pPr>
                          <w:spacing w:line="9.60pt" w:lineRule="auto"/>
                          <w:jc w:val="start"/>
                          <w:rPr>
                            <w:sz w:val="24"/>
                            <w:szCs w:val="24"/>
                            <w:vertAlign w:val="superscript"/>
                            <w:lang w:val="en-IN"/>
                          </w:rPr>
                        </w:pPr>
                        <w:r>
                          <w:rPr>
                            <w:sz w:val="24"/>
                            <w:szCs w:val="24"/>
                            <w:vertAlign w:val="superscript"/>
                            <w:lang w:val="en-IN"/>
                          </w:rPr>
                          <w:t>GLA University Mathura, India</w:t>
                        </w:r>
                        <w:r>
                          <w:rPr>
                            <w:sz w:val="24"/>
                            <w:szCs w:val="24"/>
                            <w:vertAlign w:val="superscript"/>
                            <w:lang w:val="en-IN"/>
                          </w:rPr>
                          <w:tab/>
                        </w:r>
                        <w:r>
                          <w:rPr>
                            <w:sz w:val="24"/>
                            <w:szCs w:val="24"/>
                            <w:vertAlign w:val="superscript"/>
                            <w:lang w:val="en-IN"/>
                          </w:rPr>
                          <w:tab/>
                        </w:r>
                        <w:r>
                          <w:rPr>
                            <w:sz w:val="24"/>
                            <w:szCs w:val="24"/>
                            <w:vertAlign w:val="superscript"/>
                            <w:lang w:val="en-IN"/>
                          </w:rPr>
                          <w:tab/>
                        </w:r>
                        <w:r>
                          <w:rPr>
                            <w:sz w:val="24"/>
                            <w:szCs w:val="24"/>
                            <w:vertAlign w:val="superscript"/>
                            <w:lang w:val="en-IN"/>
                          </w:rPr>
                          <w:tab/>
                        </w:r>
                        <w:r>
                          <w:rPr>
                            <w:sz w:val="24"/>
                            <w:szCs w:val="24"/>
                            <w:vertAlign w:val="superscript"/>
                            <w:lang w:val="en-IN"/>
                          </w:rPr>
                          <w:tab/>
                          <w:t>GLA University Mathura, India</w:t>
                        </w:r>
                      </w:p>
                      <w:p w14:paraId="2F6909FD" w14:textId="01585CDF" w:rsidR="00E338B9" w:rsidRDefault="000C3D3D" w:rsidP="002F4BD1">
                        <w:pPr>
                          <w:spacing w:line="9.60pt" w:lineRule="auto"/>
                          <w:jc w:val="start"/>
                          <w:rPr>
                            <w:sz w:val="24"/>
                            <w:szCs w:val="24"/>
                            <w:vertAlign w:val="superscript"/>
                            <w:lang w:val="en-IN"/>
                          </w:rPr>
                        </w:pPr>
                        <w:hyperlink r:id="rId8" w:history="1">
                          <w:r w:rsidR="00E338B9" w:rsidRPr="00315ABD">
                            <w:rPr>
                              <w:rStyle w:val="Hyperlink"/>
                              <w:sz w:val="24"/>
                              <w:szCs w:val="24"/>
                              <w:vertAlign w:val="superscript"/>
                              <w:lang w:val="en-IN"/>
                            </w:rPr>
                            <w:t>kunjika.agarwal_bca23@gla.ac.in</w:t>
                          </w:r>
                        </w:hyperlink>
                        <w:r w:rsidR="00E338B9">
                          <w:rPr>
                            <w:sz w:val="24"/>
                            <w:szCs w:val="24"/>
                            <w:vertAlign w:val="superscript"/>
                            <w:lang w:val="en-IN"/>
                          </w:rPr>
                          <w:tab/>
                        </w:r>
                        <w:r w:rsidR="00E338B9">
                          <w:rPr>
                            <w:sz w:val="24"/>
                            <w:szCs w:val="24"/>
                            <w:vertAlign w:val="superscript"/>
                            <w:lang w:val="en-IN"/>
                          </w:rPr>
                          <w:tab/>
                        </w:r>
                        <w:r w:rsidR="00E338B9">
                          <w:rPr>
                            <w:sz w:val="24"/>
                            <w:szCs w:val="24"/>
                            <w:vertAlign w:val="superscript"/>
                            <w:lang w:val="en-IN"/>
                          </w:rPr>
                          <w:tab/>
                        </w:r>
                        <w:r w:rsidR="00E338B9">
                          <w:rPr>
                            <w:sz w:val="24"/>
                            <w:szCs w:val="24"/>
                            <w:vertAlign w:val="superscript"/>
                            <w:lang w:val="en-IN"/>
                          </w:rPr>
                          <w:tab/>
                        </w:r>
                        <w:hyperlink r:id="rId9" w:history="1">
                          <w:r w:rsidR="00E338B9" w:rsidRPr="00315ABD">
                            <w:rPr>
                              <w:rStyle w:val="Hyperlink"/>
                              <w:sz w:val="24"/>
                              <w:szCs w:val="24"/>
                              <w:vertAlign w:val="superscript"/>
                              <w:lang w:val="en-IN"/>
                            </w:rPr>
                            <w:t>lalit.badhotiya_bca23@gla.ac.in</w:t>
                          </w:r>
                        </w:hyperlink>
                      </w:p>
                      <w:p w14:paraId="44364172" w14:textId="77777777" w:rsidR="00E338B9" w:rsidRDefault="00E338B9" w:rsidP="002F4BD1">
                        <w:pPr>
                          <w:spacing w:line="9.60pt" w:lineRule="auto"/>
                          <w:jc w:val="start"/>
                          <w:rPr>
                            <w:sz w:val="24"/>
                            <w:szCs w:val="24"/>
                            <w:vertAlign w:val="superscript"/>
                            <w:lang w:val="en-IN"/>
                          </w:rPr>
                        </w:pPr>
                      </w:p>
                      <w:p w14:paraId="30F800EC" w14:textId="4EB780FD" w:rsidR="00E338B9" w:rsidRPr="00E338B9" w:rsidRDefault="002F4BD1" w:rsidP="002F4BD1">
                        <w:pPr>
                          <w:spacing w:line="9.60pt" w:lineRule="auto"/>
                          <w:jc w:val="start"/>
                          <w:rPr>
                            <w:sz w:val="16"/>
                            <w:szCs w:val="16"/>
                            <w:lang w:val="en-IN"/>
                          </w:rPr>
                        </w:pPr>
                        <w:r>
                          <w:rPr>
                            <w:sz w:val="16"/>
                            <w:szCs w:val="16"/>
                            <w:lang w:val="en-IN"/>
                          </w:rPr>
                          <w:t xml:space="preserve">          </w:t>
                        </w:r>
                        <w:r w:rsidR="00E338B9" w:rsidRPr="002F4BD1">
                          <w:rPr>
                            <w:b/>
                            <w:sz w:val="16"/>
                            <w:szCs w:val="16"/>
                            <w:lang w:val="en-IN"/>
                          </w:rPr>
                          <w:t>Lovekush Chauhan</w:t>
                        </w:r>
                        <w:r>
                          <w:rPr>
                            <w:sz w:val="16"/>
                            <w:szCs w:val="16"/>
                            <w:lang w:val="en-IN"/>
                          </w:rPr>
                          <w:tab/>
                        </w:r>
                        <w:r>
                          <w:rPr>
                            <w:sz w:val="16"/>
                            <w:szCs w:val="16"/>
                            <w:lang w:val="en-IN"/>
                          </w:rPr>
                          <w:tab/>
                        </w:r>
                        <w:r>
                          <w:rPr>
                            <w:sz w:val="16"/>
                            <w:szCs w:val="16"/>
                            <w:lang w:val="en-IN"/>
                          </w:rPr>
                          <w:tab/>
                        </w:r>
                        <w:r>
                          <w:rPr>
                            <w:sz w:val="16"/>
                            <w:szCs w:val="16"/>
                            <w:lang w:val="en-IN"/>
                          </w:rPr>
                          <w:tab/>
                        </w:r>
                        <w:r>
                          <w:rPr>
                            <w:sz w:val="16"/>
                            <w:szCs w:val="16"/>
                            <w:lang w:val="en-IN"/>
                          </w:rPr>
                          <w:tab/>
                          <w:t xml:space="preserve">           </w:t>
                        </w:r>
                        <w:r w:rsidRPr="002F4BD1">
                          <w:rPr>
                            <w:b/>
                            <w:sz w:val="16"/>
                            <w:szCs w:val="16"/>
                            <w:lang w:val="en-IN"/>
                          </w:rPr>
                          <w:t>Nishant Gautam</w:t>
                        </w:r>
                      </w:p>
                      <w:p w14:paraId="326DB773" w14:textId="44585F7F" w:rsidR="00E338B9" w:rsidRDefault="00E338B9" w:rsidP="002F4BD1">
                        <w:pPr>
                          <w:spacing w:line="9.60pt" w:lineRule="auto"/>
                          <w:jc w:val="start"/>
                          <w:rPr>
                            <w:sz w:val="24"/>
                            <w:szCs w:val="24"/>
                            <w:vertAlign w:val="superscript"/>
                            <w:lang w:val="en-IN"/>
                          </w:rPr>
                        </w:pPr>
                        <w:r>
                          <w:rPr>
                            <w:sz w:val="24"/>
                            <w:szCs w:val="24"/>
                            <w:vertAlign w:val="superscript"/>
                            <w:lang w:val="en-IN"/>
                          </w:rPr>
                          <w:t>Department of Computer Science</w:t>
                        </w:r>
                        <w:r w:rsidR="002F4BD1">
                          <w:rPr>
                            <w:sz w:val="24"/>
                            <w:szCs w:val="24"/>
                            <w:vertAlign w:val="superscript"/>
                            <w:lang w:val="en-IN"/>
                          </w:rPr>
                          <w:tab/>
                        </w:r>
                        <w:r w:rsidR="002F4BD1">
                          <w:rPr>
                            <w:sz w:val="24"/>
                            <w:szCs w:val="24"/>
                            <w:vertAlign w:val="superscript"/>
                            <w:lang w:val="en-IN"/>
                          </w:rPr>
                          <w:tab/>
                        </w:r>
                        <w:r w:rsidR="002F4BD1">
                          <w:rPr>
                            <w:sz w:val="24"/>
                            <w:szCs w:val="24"/>
                            <w:vertAlign w:val="superscript"/>
                            <w:lang w:val="en-IN"/>
                          </w:rPr>
                          <w:tab/>
                        </w:r>
                        <w:r w:rsidR="002F4BD1">
                          <w:rPr>
                            <w:sz w:val="24"/>
                            <w:szCs w:val="24"/>
                            <w:vertAlign w:val="superscript"/>
                            <w:lang w:val="en-IN"/>
                          </w:rPr>
                          <w:tab/>
                        </w:r>
                        <w:r w:rsidR="002F4BD1">
                          <w:rPr>
                            <w:sz w:val="24"/>
                            <w:szCs w:val="24"/>
                            <w:vertAlign w:val="superscript"/>
                            <w:lang w:val="en-IN"/>
                          </w:rPr>
                          <w:tab/>
                          <w:t>Department of Computer Science</w:t>
                        </w:r>
                      </w:p>
                      <w:p w14:paraId="757BF3C1" w14:textId="7D25608B" w:rsidR="00E338B9" w:rsidRPr="00E338B9" w:rsidRDefault="00E338B9" w:rsidP="002F4BD1">
                        <w:pPr>
                          <w:spacing w:line="9.60pt" w:lineRule="auto"/>
                          <w:jc w:val="start"/>
                          <w:rPr>
                            <w:lang w:val="en-IN"/>
                          </w:rPr>
                        </w:pPr>
                        <w:r>
                          <w:rPr>
                            <w:sz w:val="24"/>
                            <w:szCs w:val="24"/>
                            <w:vertAlign w:val="superscript"/>
                            <w:lang w:val="en-IN"/>
                          </w:rPr>
                          <w:t>GLA University Mathura, India</w:t>
                        </w:r>
                        <w:r w:rsidR="002F4BD1">
                          <w:rPr>
                            <w:sz w:val="24"/>
                            <w:szCs w:val="24"/>
                            <w:vertAlign w:val="superscript"/>
                            <w:lang w:val="en-IN"/>
                          </w:rPr>
                          <w:tab/>
                        </w:r>
                        <w:r w:rsidR="002F4BD1">
                          <w:rPr>
                            <w:sz w:val="24"/>
                            <w:szCs w:val="24"/>
                            <w:vertAlign w:val="superscript"/>
                            <w:lang w:val="en-IN"/>
                          </w:rPr>
                          <w:tab/>
                        </w:r>
                        <w:r w:rsidR="002F4BD1">
                          <w:rPr>
                            <w:sz w:val="24"/>
                            <w:szCs w:val="24"/>
                            <w:vertAlign w:val="superscript"/>
                            <w:lang w:val="en-IN"/>
                          </w:rPr>
                          <w:tab/>
                        </w:r>
                        <w:r w:rsidR="002F4BD1">
                          <w:rPr>
                            <w:sz w:val="24"/>
                            <w:szCs w:val="24"/>
                            <w:vertAlign w:val="superscript"/>
                            <w:lang w:val="en-IN"/>
                          </w:rPr>
                          <w:tab/>
                        </w:r>
                        <w:r w:rsidR="002F4BD1">
                          <w:rPr>
                            <w:sz w:val="24"/>
                            <w:szCs w:val="24"/>
                            <w:vertAlign w:val="superscript"/>
                            <w:lang w:val="en-IN"/>
                          </w:rPr>
                          <w:tab/>
                          <w:t>GLA University Mathura, India</w:t>
                        </w:r>
                      </w:p>
                      <w:p w14:paraId="542E5493" w14:textId="3FD64C5C" w:rsidR="00E338B9" w:rsidRDefault="000C3D3D" w:rsidP="002F4BD1">
                        <w:pPr>
                          <w:spacing w:line="9.60pt" w:lineRule="auto"/>
                          <w:jc w:val="start"/>
                          <w:rPr>
                            <w:sz w:val="16"/>
                            <w:szCs w:val="16"/>
                            <w:lang w:val="en-IN"/>
                          </w:rPr>
                        </w:pPr>
                        <w:hyperlink r:id="rId10" w:history="1">
                          <w:r w:rsidR="002F4BD1" w:rsidRPr="00315ABD">
                            <w:rPr>
                              <w:rStyle w:val="Hyperlink"/>
                              <w:sz w:val="16"/>
                              <w:szCs w:val="16"/>
                              <w:lang w:val="en-IN"/>
                            </w:rPr>
                            <w:t>Lovekush.chauhan_bca23@gla.ac.in</w:t>
                          </w:r>
                        </w:hyperlink>
                        <w:r w:rsidR="002F4BD1">
                          <w:rPr>
                            <w:sz w:val="16"/>
                            <w:szCs w:val="16"/>
                            <w:lang w:val="en-IN"/>
                          </w:rPr>
                          <w:tab/>
                        </w:r>
                        <w:r w:rsidR="002F4BD1">
                          <w:rPr>
                            <w:sz w:val="16"/>
                            <w:szCs w:val="16"/>
                            <w:lang w:val="en-IN"/>
                          </w:rPr>
                          <w:tab/>
                        </w:r>
                        <w:r w:rsidR="002F4BD1">
                          <w:rPr>
                            <w:sz w:val="16"/>
                            <w:szCs w:val="16"/>
                            <w:lang w:val="en-IN"/>
                          </w:rPr>
                          <w:tab/>
                        </w:r>
                        <w:r w:rsidR="002F4BD1">
                          <w:rPr>
                            <w:sz w:val="16"/>
                            <w:szCs w:val="16"/>
                            <w:lang w:val="en-IN"/>
                          </w:rPr>
                          <w:tab/>
                        </w:r>
                        <w:hyperlink r:id="rId11" w:history="1">
                          <w:r w:rsidR="002F4BD1" w:rsidRPr="00315ABD">
                            <w:rPr>
                              <w:rStyle w:val="Hyperlink"/>
                              <w:sz w:val="16"/>
                              <w:szCs w:val="16"/>
                              <w:lang w:val="en-IN"/>
                            </w:rPr>
                            <w:t>nishant.gautam_bca23@gla.ac.in</w:t>
                          </w:r>
                        </w:hyperlink>
                      </w:p>
                      <w:p w14:paraId="53FECDD8" w14:textId="77777777" w:rsidR="002F4BD1" w:rsidRPr="002F4BD1" w:rsidRDefault="002F4BD1" w:rsidP="00704FC9">
                        <w:pPr>
                          <w:jc w:val="start"/>
                          <w:rPr>
                            <w:sz w:val="16"/>
                            <w:szCs w:val="16"/>
                            <w:lang w:val="en-IN"/>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543B7A" w:rsidRPr="00543B7A">
        <w:t xml:space="preserve"> </w:t>
      </w:r>
      <w:r w:rsidR="00543B7A" w:rsidRPr="00543B7A">
        <w:rPr>
          <w:rFonts w:eastAsia="MS Mincho"/>
          <w:sz w:val="48"/>
          <w:szCs w:val="48"/>
        </w:rPr>
        <w:t>Comparative Survival Analysis of Breast Cancer Patients Using Cox Proportional Hazards and DeepSurv Models on the SEER Dataset</w:t>
      </w:r>
    </w:p>
    <w:p w14:paraId="3E48640C" w14:textId="1BAB4EAD" w:rsidR="007A0781" w:rsidRDefault="007A0781" w:rsidP="00CA4392">
      <w:pPr>
        <w:pStyle w:val="Author"/>
        <w:spacing w:before="5pt" w:beforeAutospacing="1" w:after="5pt" w:afterAutospacing="1" w:line="6pt" w:lineRule="auto"/>
        <w:rPr>
          <w:sz w:val="16"/>
          <w:szCs w:val="16"/>
        </w:rPr>
      </w:pPr>
    </w:p>
    <w:p w14:paraId="4D4EDDFE" w14:textId="77777777" w:rsidR="007A0781" w:rsidRPr="00CA4392" w:rsidRDefault="007A0781" w:rsidP="00CA4392">
      <w:pPr>
        <w:pStyle w:val="Author"/>
        <w:spacing w:before="5pt" w:beforeAutospacing="1" w:after="5pt" w:afterAutospacing="1" w:line="6pt" w:lineRule="auto"/>
        <w:rPr>
          <w:sz w:val="16"/>
          <w:szCs w:val="16"/>
        </w:rPr>
        <w:sectPr w:rsidR="007A0781" w:rsidRPr="00CA4392" w:rsidSect="001A3B3D">
          <w:footerReference w:type="first" r:id="rId12"/>
          <w:pgSz w:w="612pt" w:h="792pt" w:code="1"/>
          <w:pgMar w:top="54pt" w:right="44.65pt" w:bottom="72pt" w:left="44.65pt" w:header="36pt" w:footer="36pt" w:gutter="0pt"/>
          <w:cols w:space="36pt"/>
          <w:titlePg/>
          <w:docGrid w:linePitch="360"/>
        </w:sectPr>
      </w:pPr>
    </w:p>
    <w:p w14:paraId="2370EA79" w14:textId="57B2C977" w:rsidR="009001A2" w:rsidRDefault="009001A2" w:rsidP="006347CF">
      <w:pPr>
        <w:pStyle w:val="Author"/>
        <w:spacing w:before="5pt" w:beforeAutospacing="1"/>
        <w:rPr>
          <w:sz w:val="18"/>
          <w:szCs w:val="18"/>
        </w:rPr>
      </w:pPr>
    </w:p>
    <w:p w14:paraId="59419620" w14:textId="60E37B8F"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4F9D8F8"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079DCF0E" w14:textId="26EC39C4" w:rsidR="00CA4392" w:rsidRDefault="00CA4392" w:rsidP="002F4BD1">
      <w:pPr>
        <w:pStyle w:val="Author"/>
        <w:spacing w:before="5pt" w:beforeAutospacing="1"/>
        <w:contextualSpacing/>
        <w:jc w:val="both"/>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4F70D2FE"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258F4F1E" w:rsidR="004D72B5" w:rsidRDefault="009303D9" w:rsidP="00825105">
      <w:pPr>
        <w:pStyle w:val="Abstract"/>
      </w:pPr>
      <w:r>
        <w:rPr>
          <w:i/>
          <w:iCs/>
        </w:rPr>
        <w:lastRenderedPageBreak/>
        <w:t>Abstract</w:t>
      </w:r>
      <w:r>
        <w:t>—</w:t>
      </w:r>
      <w:r w:rsidR="00825105" w:rsidRPr="00825105">
        <w:t xml:space="preserve"> </w:t>
      </w:r>
      <w:r w:rsidR="00FF690F">
        <w:t xml:space="preserve">Survival analysis plays a crucial role in medical research, particularly in predicting patient outcomes and understanding disease progression. The availability of large-scale clinical datasets such as the </w:t>
      </w:r>
      <w:r w:rsidR="00FF690F">
        <w:rPr>
          <w:rStyle w:val="whitespace-normal"/>
        </w:rPr>
        <w:t>SEER Breast Cancer Dataset</w:t>
      </w:r>
      <w:r w:rsidR="00FF690F">
        <w:t xml:space="preserve"> provides an opportunity to develop robust predictive models. In this study, we perform a comparative analysis between a traditional statistical approach, the </w:t>
      </w:r>
      <w:r w:rsidR="00FF690F">
        <w:rPr>
          <w:rStyle w:val="whitespace-normal"/>
        </w:rPr>
        <w:t>Cox Proportional Hazards Model</w:t>
      </w:r>
      <w:r w:rsidR="00FF690F">
        <w:t xml:space="preserve">, and a deep learning-based model, </w:t>
      </w:r>
      <w:r w:rsidR="00FF690F">
        <w:rPr>
          <w:rStyle w:val="whitespace-normal"/>
        </w:rPr>
        <w:t>DeepSurv</w:t>
      </w:r>
      <w:r w:rsidR="00FF690F">
        <w:t>, for survival prediction.</w:t>
      </w:r>
    </w:p>
    <w:p w14:paraId="05DB0200" w14:textId="0A893CDA" w:rsidR="00FF690F" w:rsidRDefault="00FF690F" w:rsidP="00FF690F">
      <w:pPr>
        <w:pStyle w:val="Abstract"/>
        <w:ind w:firstLine="0pt"/>
      </w:pPr>
      <w:r>
        <w:t>The Cox model captures linear relationships between covariates and hazard, while DeepSurv leverages non-linear representations using a multilayer neural network architecture to better model complex interactions in high-dimensional clinical data. The dataset is preprocessed by encoding categorical variables, handling missing values, and normalizing features to ensure model compatibility. Model performance is evaluated using concordance index (C-index), integrated Brier score (IBS), and additional visualizations such as Kaplan–Meier survival curves, ROC curves, and confusion matrices.</w:t>
      </w:r>
    </w:p>
    <w:p w14:paraId="4DF02966" w14:textId="437C1209" w:rsidR="00FF690F" w:rsidRPr="00825105" w:rsidRDefault="00FF690F" w:rsidP="00FF690F">
      <w:pPr>
        <w:pStyle w:val="Abstract"/>
        <w:ind w:firstLine="0pt"/>
      </w:pPr>
      <w:r>
        <w:t>Experimental results demonstrate that the deep learning-based approach outperforms the traditional model in predictive accuracy and risk stratification, achieving a higher C-index and improved calibration over time. These findings highlight the potential of deep survival models in enhancing prognostic analysis and supporting clinical decision-making.</w:t>
      </w:r>
    </w:p>
    <w:p w14:paraId="3F9CDE0E" w14:textId="4B852865" w:rsidR="009303D9" w:rsidRPr="004D72B5" w:rsidRDefault="004D72B5" w:rsidP="00972203">
      <w:pPr>
        <w:pStyle w:val="Keywords"/>
      </w:pPr>
      <w:r w:rsidRPr="004D72B5">
        <w:t>Keywords—</w:t>
      </w:r>
      <w:r w:rsidR="00104B87" w:rsidRPr="00104B87">
        <w:t xml:space="preserve"> </w:t>
      </w:r>
      <w:r w:rsidR="00FF690F">
        <w:t>Survival Analysis, SEER Dataset, Cox Model, DeepSurv, Cancer Prediction, Machine Learning, Medical Data Analysis.</w:t>
      </w:r>
    </w:p>
    <w:p w14:paraId="7FFFA702" w14:textId="49423158" w:rsidR="009303D9" w:rsidRPr="00D632BE" w:rsidRDefault="001751D2" w:rsidP="006B6B66">
      <w:pPr>
        <w:pStyle w:val="Heading1"/>
      </w:pPr>
      <w:r>
        <w:t xml:space="preserve">Introduction </w:t>
      </w:r>
      <w:r w:rsidR="00FF690F">
        <w:t>AND RELATED WORK</w:t>
      </w:r>
    </w:p>
    <w:p w14:paraId="0DB6F576" w14:textId="3D9616B8" w:rsidR="009303D9" w:rsidRDefault="00104B87" w:rsidP="00FF690F">
      <w:pPr>
        <w:pStyle w:val="BodyText"/>
        <w:ind w:firstLine="0pt"/>
      </w:pPr>
      <w:r w:rsidRPr="00104B87">
        <w:t xml:space="preserve"> </w:t>
      </w:r>
      <w:r w:rsidR="00FF690F" w:rsidRPr="00FF690F">
        <w:t xml:space="preserve">Survival analysis is a fundamental statistical approach widely used in medical research to analyze time-to-event data, particularly in predicting patient outcomes such as survival time and disease progression. With the increasing availability of large-scale clinical datasets like the SEER Breast Cancer Dataset, researchers can develop more accurate and scalable predictive models to support clinical decision-making and personalized treatment planning [1]. Traditional statistical methods have long been used for survival modeling; however, </w:t>
      </w:r>
      <w:r w:rsidR="00FF690F" w:rsidRPr="00FF690F">
        <w:lastRenderedPageBreak/>
        <w:t>the growing complexity and high dimensionality of medical data demand more advanced computational techniques.</w:t>
      </w:r>
    </w:p>
    <w:p w14:paraId="41F25375" w14:textId="38DC3F28" w:rsidR="00FF690F" w:rsidRDefault="00FF690F" w:rsidP="00FF690F">
      <w:pPr>
        <w:pStyle w:val="BodyText"/>
        <w:ind w:firstLine="0pt"/>
      </w:pPr>
      <w:r>
        <w:t xml:space="preserve">One of the most widely used models in survival analysis is the </w:t>
      </w:r>
      <w:r>
        <w:rPr>
          <w:rStyle w:val="whitespace-normal"/>
        </w:rPr>
        <w:t>Cox Proportional Hazards Model</w:t>
      </w:r>
      <w:r>
        <w:t>, which estimates the relationship between covariates and the hazard function without assuming a specific baseline hazard distribution [2]. Despite its interpretability and strong theoretical foundation, the Cox model assumes proportional hazards and linear relationships between features and outcomes, which may limit its performance when dealing with complex, non-linear interactions present in real-world clinical datasets.</w:t>
      </w:r>
    </w:p>
    <w:p w14:paraId="746FB8BF" w14:textId="02365B50" w:rsidR="00FF690F" w:rsidRDefault="00FF690F" w:rsidP="00FF690F">
      <w:pPr>
        <w:pStyle w:val="BodyText"/>
        <w:ind w:firstLine="0pt"/>
      </w:pPr>
      <w:r>
        <w:t xml:space="preserve">To overcome these limitations, machine learning and deep learning approaches have been increasingly adopted in survival analysis. In particular, deep neural network-based models such as </w:t>
      </w:r>
      <w:r>
        <w:rPr>
          <w:rStyle w:val="whitespace-normal"/>
        </w:rPr>
        <w:t>DeepSurv</w:t>
      </w:r>
      <w:r>
        <w:t xml:space="preserve"> extend the Cox model by learning non-linear representations of covariates, enabling improved prediction accuracy and risk stratification [3]. DeepSurv utilizes a multilayer perceptron architecture to estimate individualized hazard functions, making it suitable for high-dimensional and heterogeneous medical data.</w:t>
      </w:r>
    </w:p>
    <w:p w14:paraId="7A59B27F" w14:textId="5E78630E" w:rsidR="00FF690F" w:rsidRDefault="00FF690F" w:rsidP="00FF690F">
      <w:pPr>
        <w:pStyle w:val="BodyText"/>
        <w:ind w:firstLine="0pt"/>
      </w:pPr>
      <w:r>
        <w:t>Several studies have explored the application of deep learning techniques in survival prediction. Katzman et al. [3] introduced DeepSurv as a nonlinear extension of the Cox model and demonstrated its effectiveness in personalized treatment recommendations. Luck et al. [4] applied deep learning methods to cancer survival analysis and showed improved predictive performance compared to traditional statistical models. Similarly, Kvamme et al. [5] developed advanced neural network-based survival models using the PyCox framework, highlighting the importance of flexible architectures and evaluation techniques in time-to-event analysis.</w:t>
      </w:r>
    </w:p>
    <w:p w14:paraId="4B7D044D" w14:textId="531AD34F" w:rsidR="00FF690F" w:rsidRDefault="00FF690F" w:rsidP="00FF690F">
      <w:pPr>
        <w:pStyle w:val="BodyText"/>
        <w:ind w:firstLine="0pt"/>
      </w:pPr>
      <w:r>
        <w:t>In addition to model development, evaluation metrics such as the concordance index (C-index) and integrated Brier score (IBS) have been widely used to assess predictive performance and calibration of survival models [6]. Visualization techniques like Kaplan–Meier survival curves further aid in understanding population-level survival patterns and model interpretability.</w:t>
      </w:r>
    </w:p>
    <w:p w14:paraId="47296CBE" w14:textId="4B9D95DA" w:rsidR="00FF690F" w:rsidRPr="005B520E" w:rsidRDefault="00FF690F" w:rsidP="00FF690F">
      <w:pPr>
        <w:pStyle w:val="BodyText"/>
        <w:ind w:firstLine="0pt"/>
      </w:pPr>
      <w:r w:rsidRPr="00FF690F">
        <w:lastRenderedPageBreak/>
        <w:t>In this study, we perform a comprehensive comparative analysis between the traditional Cox Proportional Hazards model and the DeepSurv model using the SEER Breast Cancer dataset. By leveraging both classical statistical methods and modern deep learning techniques, we aim to evaluate their effectiveness in predicting patient survival outcomes. The results provide insights into the advantages of deep learning models in handling complex medical data and their potential role in improving prognostic analysis.</w:t>
      </w:r>
    </w:p>
    <w:p w14:paraId="3EF35B8D" w14:textId="5AE5C5D3" w:rsidR="009303D9" w:rsidRDefault="00460868" w:rsidP="006B6B66">
      <w:pPr>
        <w:pStyle w:val="Heading1"/>
      </w:pPr>
      <w:r>
        <w:t>Literature review</w:t>
      </w:r>
    </w:p>
    <w:p w14:paraId="3BE3103C" w14:textId="66FF7F2B" w:rsidR="00FF690F" w:rsidRDefault="00FF690F" w:rsidP="00FF690F">
      <w:pPr>
        <w:jc w:val="both"/>
      </w:pPr>
      <w:r>
        <w:t xml:space="preserve">Survival analysis has been extensively studied in the domain of medical research, particularly for cancer prognosis and risk prediction. Traditional statistical approaches, such as the </w:t>
      </w:r>
      <w:r>
        <w:rPr>
          <w:rStyle w:val="whitespace-normal"/>
        </w:rPr>
        <w:t>Cox Proportional Hazards Model</w:t>
      </w:r>
      <w:r>
        <w:t>, have been widely used due to their interpretability and ability to model time-to-event data without requiring assumptions about t</w:t>
      </w:r>
      <w:r w:rsidR="007564AF">
        <w:t>he baseline hazard function [7</w:t>
      </w:r>
      <w:r>
        <w:t>]. However, these models rely on the proportional hazards assumption and linear relationships between covariates and outcomes, which may not adequately capture the complexity of modern clinical datasets.</w:t>
      </w:r>
    </w:p>
    <w:p w14:paraId="474FB657" w14:textId="581313E0" w:rsidR="00FF690F" w:rsidRDefault="00FF690F" w:rsidP="00FF690F">
      <w:pPr>
        <w:jc w:val="both"/>
      </w:pPr>
    </w:p>
    <w:p w14:paraId="6EEE6445" w14:textId="7B040AA2" w:rsidR="00FF690F" w:rsidRDefault="00FF690F" w:rsidP="00FF690F">
      <w:pPr>
        <w:jc w:val="both"/>
      </w:pPr>
      <w:r>
        <w:t xml:space="preserve">Several studies have explored improvements to traditional survival models. </w:t>
      </w:r>
      <w:r>
        <w:rPr>
          <w:rStyle w:val="whitespace-normal"/>
        </w:rPr>
        <w:t>Sir David Cox</w:t>
      </w:r>
      <w:r>
        <w:t xml:space="preserve"> originally introduced the Cox model, which remains a cornerstone in survival analysis. Later, extensions and regularization techniques were proposed to improve its performance in high-dim</w:t>
      </w:r>
      <w:r w:rsidR="007564AF">
        <w:t>ensional settings [8</w:t>
      </w:r>
      <w:r>
        <w:t>]. Nevertheless, as medical datasets grow in size and complexity, these classical approaches face limitations in modeling non-linear interactions and feature dependencies.</w:t>
      </w:r>
    </w:p>
    <w:p w14:paraId="56E54D07" w14:textId="35C8E8AD" w:rsidR="00FF690F" w:rsidRDefault="00FF690F" w:rsidP="00FF690F">
      <w:pPr>
        <w:jc w:val="both"/>
      </w:pPr>
    </w:p>
    <w:p w14:paraId="7792F43C" w14:textId="74583AA6" w:rsidR="00FF690F" w:rsidRDefault="007564AF" w:rsidP="00FF690F">
      <w:pPr>
        <w:jc w:val="both"/>
      </w:pPr>
      <w:r>
        <w:t xml:space="preserve">To address these challenges, machine learning techniques have been increasingly applied to survival analysis. Random Survival Forests (RSF), introduced by </w:t>
      </w:r>
      <w:r>
        <w:rPr>
          <w:rStyle w:val="whitespace-normal"/>
        </w:rPr>
        <w:t>Hemant Ishwaran</w:t>
      </w:r>
      <w:r>
        <w:t>, demonstrated improved predictive performance by capturing non-linear relationships and interactions between variables [9]. Similarly, Support Vector Machines (SVM) and ensemble-based approaches have been utilized for survival prediction, offering better generalization in certain scenarios but often lacking interpretability [10].</w:t>
      </w:r>
    </w:p>
    <w:p w14:paraId="30EC24BD" w14:textId="6E4A21DA" w:rsidR="007564AF" w:rsidRDefault="007564AF" w:rsidP="00FF690F">
      <w:pPr>
        <w:jc w:val="both"/>
      </w:pPr>
    </w:p>
    <w:p w14:paraId="2D019511" w14:textId="7E847E1D" w:rsidR="007564AF" w:rsidRDefault="007564AF" w:rsidP="00FF690F">
      <w:pPr>
        <w:jc w:val="both"/>
      </w:pPr>
      <w:r>
        <w:t xml:space="preserve">More recently, deep learning approaches have gained significant attention for survival modeling. </w:t>
      </w:r>
      <w:r>
        <w:rPr>
          <w:rStyle w:val="whitespace-normal"/>
        </w:rPr>
        <w:t>Jared Katzman</w:t>
      </w:r>
      <w:r>
        <w:t xml:space="preserve"> et al. [11] proposed </w:t>
      </w:r>
      <w:r>
        <w:rPr>
          <w:rStyle w:val="whitespace-normal"/>
        </w:rPr>
        <w:t>DeepSurv</w:t>
      </w:r>
      <w:r>
        <w:t>, a deep neural network extension of the Cox model that replaces the linear component with a multilayer perceptron. This approach enables the model to learn complex, non-linear relationships between covariates and survival outcomes. Their results demonstrated improved performance over traditional Cox models, particularly in heterogeneous datasets.</w:t>
      </w:r>
    </w:p>
    <w:p w14:paraId="57A7D191" w14:textId="5C1F9153" w:rsidR="007564AF" w:rsidRDefault="007564AF" w:rsidP="00FF690F">
      <w:pPr>
        <w:jc w:val="both"/>
      </w:pPr>
    </w:p>
    <w:p w14:paraId="3E69208E" w14:textId="4C73762E" w:rsidR="007564AF" w:rsidRDefault="007564AF" w:rsidP="00FF690F">
      <w:pPr>
        <w:jc w:val="both"/>
      </w:pPr>
      <w:r>
        <w:t xml:space="preserve">Further advancements have been made using deep learning frameworks such as PyCox, developed by </w:t>
      </w:r>
      <w:r>
        <w:rPr>
          <w:rStyle w:val="whitespace-normal"/>
        </w:rPr>
        <w:t>Håvard Kvamme</w:t>
      </w:r>
      <w:r>
        <w:t xml:space="preserve"> et al. [12], which provides flexible implementations of neural network-based survival models. These approaches incorporate advanced optimization techniques, regularization strategies, and scalable architectures, making them suitable for large-scale clinical datasets like the </w:t>
      </w:r>
      <w:r>
        <w:rPr>
          <w:rStyle w:val="whitespace-normal"/>
        </w:rPr>
        <w:t>SEER Breast Cancer Dataset</w:t>
      </w:r>
      <w:r>
        <w:t>.</w:t>
      </w:r>
    </w:p>
    <w:p w14:paraId="044B6782" w14:textId="1ADBE836" w:rsidR="007564AF" w:rsidRDefault="007564AF" w:rsidP="00FF690F">
      <w:pPr>
        <w:jc w:val="both"/>
      </w:pPr>
      <w:r>
        <w:lastRenderedPageBreak/>
        <w:t xml:space="preserve">In addition to model development, evaluation metrics play a critical role in assessing survival models. The </w:t>
      </w:r>
      <w:r>
        <w:rPr>
          <w:rStyle w:val="whitespace-normal"/>
        </w:rPr>
        <w:t>Concordance Index</w:t>
      </w:r>
      <w:r>
        <w:t xml:space="preserve"> is widely used to measure the predictive accuracy of risk rankings, while the </w:t>
      </w:r>
      <w:r>
        <w:rPr>
          <w:rStyle w:val="whitespace-normal"/>
        </w:rPr>
        <w:t>Brier Score</w:t>
      </w:r>
      <w:r>
        <w:t xml:space="preserve"> evaluates the calibration and overall prediction error over time [13]. Visualization techniques such as Kaplan–Meier curves further assist in interpreting survival probabilities across different patient groups.</w:t>
      </w:r>
    </w:p>
    <w:p w14:paraId="121462D4" w14:textId="33200C6C" w:rsidR="007564AF" w:rsidRDefault="007564AF" w:rsidP="00FF690F">
      <w:pPr>
        <w:jc w:val="both"/>
      </w:pPr>
    </w:p>
    <w:p w14:paraId="6F8967EB" w14:textId="25D2A073" w:rsidR="007564AF" w:rsidRPr="00FF690F" w:rsidRDefault="007564AF" w:rsidP="00FF690F">
      <w:pPr>
        <w:jc w:val="both"/>
      </w:pPr>
      <w:r>
        <w:t>Overall, the literature highlights a clear progression from traditional statistical models to advanced machine learning and deep learning approaches. While classical methods offer interpretability, deep learning models provide superior performance in handling high-dimensional and complex datasets. This study builds upon these advancements by conducting a comparative analysis between the Cox Proportional Hazards model and DeepSurv to evaluate their effectiveness in cancer survival prediction.</w:t>
      </w:r>
    </w:p>
    <w:p w14:paraId="65313B9F" w14:textId="18F42B93" w:rsidR="009303D9" w:rsidRDefault="00BB18C5" w:rsidP="006B6B66">
      <w:pPr>
        <w:pStyle w:val="Heading1"/>
      </w:pPr>
      <w:r>
        <w:t>Proposed method</w:t>
      </w:r>
    </w:p>
    <w:p w14:paraId="6A3871DA" w14:textId="60470D74" w:rsidR="007564AF" w:rsidRDefault="007564AF" w:rsidP="007564AF">
      <w:pPr>
        <w:jc w:val="both"/>
      </w:pPr>
      <w:r w:rsidRPr="007564AF">
        <w:t>In this study, we propose a hybrid survival analysis framework that combines a traditional statistical model with a deep learning-based approach for predicting patient survival outcomes. The overall architecture of the proposed method is illustrated in Fig. 1, which consists of data preprocessing, model training, and survival prediction components.</w:t>
      </w:r>
    </w:p>
    <w:p w14:paraId="70F6131A" w14:textId="7A49A7A8" w:rsidR="007564AF" w:rsidRPr="00D51E13" w:rsidRDefault="007564AF" w:rsidP="007564AF">
      <w:pPr>
        <w:jc w:val="both"/>
        <w:rPr>
          <w:sz w:val="10"/>
          <w:szCs w:val="10"/>
        </w:rPr>
      </w:pPr>
    </w:p>
    <w:p w14:paraId="76B1C2BA" w14:textId="165C0F10" w:rsidR="007564AF" w:rsidRDefault="007564AF" w:rsidP="007564AF">
      <w:pPr>
        <w:pStyle w:val="Heading2"/>
      </w:pPr>
      <w:r>
        <w:t>Problem Formulation</w:t>
      </w:r>
    </w:p>
    <w:p w14:paraId="64BAA0F7" w14:textId="428EC300" w:rsidR="00672B70" w:rsidRDefault="00672B70" w:rsidP="00672B70">
      <w:pPr>
        <w:jc w:val="both"/>
      </w:pPr>
      <w:r>
        <w:t xml:space="preserve">Let the dataset be represented as </w:t>
      </w:r>
      <m:oMath>
        <m:r>
          <w:rPr>
            <w:rFonts w:ascii="Cambria Math" w:hAnsi="Cambria Math"/>
          </w:rPr>
          <m:t xml:space="preserve">D = </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r>
              <m:rPr>
                <m:sty m:val="p"/>
              </m:rPr>
              <w:rPr>
                <w:rFonts w:ascii="Cambria Math" w:hAnsi="Cambria Math"/>
              </w:rPr>
              <m:t xml:space="preserve">δᵢ </m:t>
            </m:r>
          </m:e>
        </m:d>
        <m:sSubSup>
          <m:sSubSupPr>
            <m:ctrlPr>
              <w:rPr>
                <w:rFonts w:ascii="Cambria Math" w:hAnsi="Cambria Math"/>
                <w:i/>
              </w:rPr>
            </m:ctrlPr>
          </m:sSubSupPr>
          <m:e>
            <m:r>
              <m:rPr>
                <m:lit/>
              </m:rPr>
              <w:rPr>
                <w:rFonts w:ascii="Cambria Math" w:hAnsi="Cambria Math"/>
              </w:rPr>
              <m:t>}</m:t>
            </m:r>
          </m:e>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sup>
        </m:sSubSup>
      </m:oMath>
      <w:r>
        <w:t>,</w:t>
      </w:r>
    </w:p>
    <w:p w14:paraId="525FB739" w14:textId="1D677918" w:rsidR="00672B70" w:rsidRDefault="00672B70" w:rsidP="00672B70">
      <w:pPr>
        <w:jc w:val="both"/>
      </w:pPr>
      <w:r>
        <w:t xml:space="preserve">Where xᵢ </w:t>
      </w:r>
      <w:r>
        <w:rPr>
          <w:rFonts w:ascii="Cambria Math" w:hAnsi="Cambria Math" w:cs="Cambria Math"/>
        </w:rPr>
        <w:t>∈</w:t>
      </w:r>
      <w:r>
        <w:t xml:space="preserve"> ℝᵈ denotes the feature vector,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represents the observed survival time, and </w:t>
      </w:r>
      <m:oMath>
        <m:r>
          <m:rPr>
            <m:sty m:val="p"/>
          </m:rPr>
          <w:rPr>
            <w:rFonts w:ascii="Cambria Math" w:hAnsi="Cambria Math"/>
          </w:rPr>
          <m:t xml:space="preserve">δᵢ </m:t>
        </m:r>
        <m:r>
          <m:rPr>
            <m:sty m:val="p"/>
          </m:rPr>
          <w:rPr>
            <w:rFonts w:ascii="Cambria Math" w:hAnsi="Cambria Math" w:cs="Cambria Math"/>
          </w:rPr>
          <m:t>∈</m:t>
        </m:r>
        <m:r>
          <m:rPr>
            <m:sty m:val="p"/>
          </m:rPr>
          <w:rPr>
            <w:rFonts w:ascii="Cambria Math" w:hAnsi="Cambria Math"/>
          </w:rPr>
          <m:t xml:space="preserve"> {0,1}</m:t>
        </m:r>
      </m:oMath>
      <w:r>
        <w:t xml:space="preserve"> </w:t>
      </w:r>
      <w:r w:rsidRPr="00672B70">
        <w:t xml:space="preserve">is the event indicator. The objective is to learn a function that estimates the risk of an event occurring over time for each </w:t>
      </w:r>
      <w:r w:rsidR="00C36790" w:rsidRPr="00672B70">
        <w:t>individual</w:t>
      </w:r>
      <w:r w:rsidR="00C36790">
        <w:t xml:space="preserve"> [</w:t>
      </w:r>
      <w:r w:rsidR="00766AC0">
        <w:t>14]</w:t>
      </w:r>
      <w:r w:rsidRPr="00672B70">
        <w:t>.</w:t>
      </w:r>
    </w:p>
    <w:p w14:paraId="59A8E903" w14:textId="40000735" w:rsidR="00672B70" w:rsidRPr="00D51E13" w:rsidRDefault="00672B70" w:rsidP="00672B70">
      <w:pPr>
        <w:jc w:val="both"/>
        <w:rPr>
          <w:sz w:val="10"/>
          <w:szCs w:val="10"/>
        </w:rPr>
      </w:pPr>
    </w:p>
    <w:p w14:paraId="5C216467" w14:textId="62A0F697" w:rsidR="00672B70" w:rsidRDefault="00672B70" w:rsidP="00672B70">
      <w:pPr>
        <w:pStyle w:val="Heading2"/>
      </w:pPr>
      <w:r>
        <w:t>Cox Proportional Hazards Model</w:t>
      </w:r>
    </w:p>
    <w:p w14:paraId="5420DC84" w14:textId="6A9FCF40" w:rsidR="00672B70" w:rsidRPr="00D51E13" w:rsidRDefault="00D51E13" w:rsidP="00672B70">
      <w:pPr>
        <w:jc w:val="both"/>
        <w:rPr>
          <w:sz w:val="10"/>
          <w:szCs w:val="10"/>
        </w:rPr>
      </w:pPr>
      <w:r>
        <w:rPr>
          <w:sz w:val="10"/>
          <w:szCs w:val="10"/>
        </w:rPr>
        <w:t>]</w:t>
      </w:r>
    </w:p>
    <w:p w14:paraId="5F97841D" w14:textId="3CAD0D84" w:rsidR="00672B70" w:rsidRDefault="00672B70" w:rsidP="00672B70">
      <w:pPr>
        <w:jc w:val="both"/>
      </w:pPr>
      <w:r>
        <w:t xml:space="preserve">The first component of the proposed framework is the </w:t>
      </w:r>
      <w:r>
        <w:rPr>
          <w:rStyle w:val="whitespace-normal"/>
        </w:rPr>
        <w:t>Cox Proportional Hazards Model</w:t>
      </w:r>
      <w:r>
        <w:t xml:space="preserve">, which models the hazard function as: </w:t>
      </w:r>
      <m:oMath>
        <m:r>
          <m:rPr>
            <m:sty m:val="p"/>
          </m:rPr>
          <w:rPr>
            <w:rFonts w:ascii="Cambria Math" w:hAnsi="Cambria Math"/>
          </w:rPr>
          <m:t>h(t | x) = h₀(t) exp(βᵀx)</m:t>
        </m:r>
      </m:oMath>
    </w:p>
    <w:p w14:paraId="55EC4EA7" w14:textId="38CE4FDF" w:rsidR="00672B70" w:rsidRDefault="00672B70" w:rsidP="00672B70">
      <w:pPr>
        <w:jc w:val="both"/>
      </w:pPr>
      <w:r>
        <w:t xml:space="preserve">Where </w:t>
      </w:r>
      <m:oMath>
        <m:r>
          <m:rPr>
            <m:sty m:val="p"/>
          </m:rPr>
          <w:rPr>
            <w:rFonts w:ascii="Cambria Math" w:hAnsi="Cambria Math"/>
          </w:rPr>
          <m:t>h₀(t)</m:t>
        </m:r>
      </m:oMath>
      <w:r>
        <w:t xml:space="preserve"> is the baseline hazard and </w:t>
      </w:r>
      <m:oMath>
        <m:r>
          <m:rPr>
            <m:sty m:val="p"/>
          </m:rPr>
          <w:rPr>
            <w:rFonts w:ascii="Cambria Math" w:hAnsi="Cambria Math"/>
          </w:rPr>
          <m:t>βᵀx</m:t>
        </m:r>
      </m:oMath>
      <w:r>
        <w:t xml:space="preserve"> represents the linear predictor. The model estimates relative risk scores for patients based on their covariates and is trained using partial likelihood maximization.</w:t>
      </w:r>
    </w:p>
    <w:p w14:paraId="5DDADD79" w14:textId="306F6564" w:rsidR="00197142" w:rsidRPr="00D51E13" w:rsidRDefault="00197142" w:rsidP="00672B70">
      <w:pPr>
        <w:jc w:val="both"/>
        <w:rPr>
          <w:sz w:val="10"/>
          <w:szCs w:val="10"/>
        </w:rPr>
      </w:pPr>
    </w:p>
    <w:p w14:paraId="3C917F86" w14:textId="68E990FF" w:rsidR="00197142" w:rsidRDefault="00197142" w:rsidP="00197142">
      <w:pPr>
        <w:pStyle w:val="Heading2"/>
      </w:pPr>
      <w:r>
        <w:t>DeepSurv Architecture</w:t>
      </w:r>
    </w:p>
    <w:p w14:paraId="0C2529B0" w14:textId="459114FD" w:rsidR="00197142" w:rsidRDefault="00197142" w:rsidP="00197142">
      <w:pPr>
        <w:jc w:val="both"/>
      </w:pPr>
      <w:r w:rsidRPr="00197142">
        <w:t xml:space="preserve">To overcome the limitations of linear assumptions in the Cox model, we incorporate the DeepSurv model, which replaces the linear component with a deep neural network. The architecture consists of a fully connected multilayer perceptron with three hidden layers containing 64, 64, and 32 neurons, </w:t>
      </w:r>
      <w:r w:rsidR="00C36790" w:rsidRPr="00197142">
        <w:t>respectively</w:t>
      </w:r>
      <w:r w:rsidR="00C36790">
        <w:t xml:space="preserve"> [</w:t>
      </w:r>
      <w:r w:rsidR="00766AC0">
        <w:t>15]</w:t>
      </w:r>
      <w:r w:rsidRPr="00197142">
        <w:t>.</w:t>
      </w:r>
    </w:p>
    <w:p w14:paraId="0597AD60" w14:textId="77777777" w:rsidR="00197142" w:rsidRPr="00D51E13" w:rsidRDefault="00197142" w:rsidP="00197142">
      <w:pPr>
        <w:jc w:val="both"/>
        <w:rPr>
          <w:sz w:val="10"/>
          <w:szCs w:val="10"/>
        </w:rPr>
      </w:pPr>
    </w:p>
    <w:p w14:paraId="5626AA02" w14:textId="3AD7869A" w:rsidR="00197142" w:rsidRDefault="00197142" w:rsidP="00197142">
      <w:pPr>
        <w:jc w:val="both"/>
      </w:pPr>
      <w:r>
        <w:t>Each hidden layer is followed by ReLU activation, batch normalization, and dropout regularization to prevent overfitting. The input feature vector is first normalized and then passed through these layers to learn a non-linear representation of the data. The final output layer produces a single risk score for each patient.</w:t>
      </w:r>
    </w:p>
    <w:p w14:paraId="7953A49F" w14:textId="77777777" w:rsidR="00012268" w:rsidRPr="002F4BD1" w:rsidRDefault="00012268" w:rsidP="00197142">
      <w:pPr>
        <w:jc w:val="both"/>
        <w:rPr>
          <w:sz w:val="10"/>
          <w:szCs w:val="10"/>
        </w:rPr>
      </w:pPr>
    </w:p>
    <w:p w14:paraId="73794BA5" w14:textId="6FFA6172" w:rsidR="00197142" w:rsidRDefault="00197142" w:rsidP="00197142">
      <w:pPr>
        <w:jc w:val="both"/>
      </w:pPr>
      <w:r>
        <w:lastRenderedPageBreak/>
        <w:t>The hazard function in DeepSurv is expressed as:</w:t>
      </w:r>
    </w:p>
    <w:p w14:paraId="50F8E5AC" w14:textId="77777777" w:rsidR="00197142" w:rsidRDefault="00197142" w:rsidP="00197142">
      <w:pPr>
        <w:jc w:val="both"/>
      </w:pPr>
      <w:r>
        <w:tab/>
      </w:r>
      <m:oMath>
        <m:r>
          <m:rPr>
            <m:sty m:val="p"/>
          </m:rPr>
          <w:rPr>
            <w:rFonts w:ascii="Cambria Math" w:hAnsi="Cambria Math"/>
          </w:rPr>
          <m:t>h(t | x) = h₀(t) exp(f(x; θ))</m:t>
        </m:r>
      </m:oMath>
    </w:p>
    <w:p w14:paraId="4BB3FA77" w14:textId="37A40490" w:rsidR="00DD5412" w:rsidRDefault="00197142" w:rsidP="00197142">
      <w:pPr>
        <w:jc w:val="both"/>
      </w:pPr>
      <w:r>
        <w:t xml:space="preserve">where </w:t>
      </w:r>
      <m:oMath>
        <m:r>
          <m:rPr>
            <m:sty m:val="p"/>
          </m:rPr>
          <w:rPr>
            <w:rFonts w:ascii="Cambria Math" w:hAnsi="Cambria Math"/>
          </w:rPr>
          <m:t>f(x; θ)</m:t>
        </m:r>
      </m:oMath>
      <w:r>
        <w:t xml:space="preserve"> is the non-linear transformation learned by the neural network.</w:t>
      </w:r>
    </w:p>
    <w:p w14:paraId="5C7A39E5" w14:textId="2E33AC55" w:rsidR="00DD5412" w:rsidRDefault="00DD5412" w:rsidP="00DD5412">
      <w:pPr>
        <w:pStyle w:val="Heading2"/>
      </w:pPr>
      <w:r>
        <w:t>Loss Function</w:t>
      </w:r>
    </w:p>
    <w:p w14:paraId="0F670F6D" w14:textId="6655F7D5" w:rsidR="00DD5412" w:rsidRDefault="00DD5412" w:rsidP="00DD5412">
      <w:pPr>
        <w:jc w:val="both"/>
      </w:pPr>
      <w:r>
        <w:t>The DeepSurv model is trained using the negative log partial likelihood function, defined as:</w:t>
      </w:r>
    </w:p>
    <w:p w14:paraId="0B11A3F6" w14:textId="5D0D7AEA" w:rsidR="00DD5412" w:rsidRPr="00DD5412" w:rsidRDefault="00DD5412" w:rsidP="00DD5412">
      <w:pPr>
        <w:jc w:val="both"/>
      </w:pPr>
      <m:oMathPara>
        <m:oMath>
          <m:r>
            <m:rPr>
              <m:scr m:val="script"/>
              <m:sty m:val="p"/>
            </m:rPr>
            <w:rPr>
              <w:rFonts w:ascii="Cambria Math" w:hAnsi="Cambria Math" w:cs="Cambria Math"/>
            </w:rPr>
            <m:t>L</m:t>
          </m:r>
          <m:r>
            <m:rPr>
              <m:sty m:val="p"/>
            </m:rPr>
            <w:rPr>
              <w:rFonts w:ascii="Cambria Math" w:hAnsi="Cambria Math"/>
            </w:rPr>
            <m:t xml:space="preserve"> = - ∑ᵢ</m:t>
          </m:r>
          <m:r>
            <m:rPr>
              <m:sty m:val="p"/>
            </m:rPr>
            <w:rPr>
              <w:rFonts w:ascii="Cambria Math" w:hAnsi="Cambria Math" w:cs="Cambria Math"/>
            </w:rPr>
            <m:t>∈</m:t>
          </m:r>
          <m:r>
            <m:rPr>
              <m:sty m:val="p"/>
            </m:rPr>
            <w:rPr>
              <w:rFonts w:ascii="Cambria Math" w:hAnsi="Cambria Math"/>
            </w:rPr>
            <m:t xml:space="preserve">D δᵢ </m:t>
          </m:r>
          <m:d>
            <m:dPr>
              <m:ctrlPr>
                <w:rPr>
                  <w:rFonts w:ascii="Cambria Math" w:hAnsi="Cambria Math"/>
                </w:rPr>
              </m:ctrlPr>
            </m:dPr>
            <m:e>
              <m:r>
                <m:rPr>
                  <m:sty m:val="p"/>
                </m:rPr>
                <w:rPr>
                  <w:rFonts w:ascii="Cambria Math" w:hAnsi="Cambria Math"/>
                </w:rPr>
                <m:t xml:space="preserve"> f</m:t>
              </m:r>
              <m:d>
                <m:dPr>
                  <m:ctrlPr>
                    <w:rPr>
                      <w:rFonts w:ascii="Cambria Math" w:hAnsi="Cambria Math"/>
                    </w:rPr>
                  </m:ctrlPr>
                </m:dPr>
                <m:e>
                  <m:r>
                    <m:rPr>
                      <m:sty m:val="p"/>
                    </m:rPr>
                    <w:rPr>
                      <w:rFonts w:ascii="Cambria Math" w:hAnsi="Cambria Math"/>
                    </w:rPr>
                    <m:t>xᵢ</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∑ⱼ</m:t>
                  </m:r>
                </m:e>
              </m:func>
              <m:r>
                <m:rPr>
                  <m:sty m:val="p"/>
                </m:rPr>
                <w:rPr>
                  <w:rFonts w:ascii="Cambria Math" w:hAnsi="Cambria Math" w:cs="Cambria Math"/>
                </w:rPr>
                <m:t>∈</m:t>
              </m:r>
              <m:r>
                <m:rPr>
                  <m:sty m:val="p"/>
                </m:rPr>
                <w:rPr>
                  <w:rFonts w:ascii="Cambria Math" w:hAnsi="Cambria Math"/>
                </w:rPr>
                <m:t>Rᵢ</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f</m:t>
                      </m:r>
                      <m:d>
                        <m:dPr>
                          <m:ctrlPr>
                            <w:rPr>
                              <w:rFonts w:ascii="Cambria Math" w:hAnsi="Cambria Math"/>
                            </w:rPr>
                          </m:ctrlPr>
                        </m:dPr>
                        <m:e>
                          <m:r>
                            <m:rPr>
                              <m:sty m:val="p"/>
                            </m:rPr>
                            <w:rPr>
                              <w:rFonts w:ascii="Cambria Math" w:hAnsi="Cambria Math"/>
                            </w:rPr>
                            <m:t>xⱼ</m:t>
                          </m:r>
                        </m:e>
                      </m:d>
                    </m:e>
                  </m:d>
                </m:e>
              </m:func>
            </m:e>
          </m:d>
        </m:oMath>
      </m:oMathPara>
    </w:p>
    <w:p w14:paraId="36DC9477" w14:textId="77777777" w:rsidR="00DD5412" w:rsidRPr="00D51E13" w:rsidRDefault="00DD5412" w:rsidP="00DD5412">
      <w:pPr>
        <w:jc w:val="both"/>
        <w:rPr>
          <w:sz w:val="10"/>
          <w:szCs w:val="10"/>
        </w:rPr>
      </w:pPr>
    </w:p>
    <w:p w14:paraId="5E42D02E" w14:textId="55DD4141" w:rsidR="00DD5412" w:rsidRDefault="00DD5412" w:rsidP="00672B70">
      <w:pPr>
        <w:jc w:val="both"/>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denotes the risk set at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This loss function ensures that patients with shorter survival times are assigned higher risk scores.</w:t>
      </w:r>
    </w:p>
    <w:p w14:paraId="680B2BEC" w14:textId="30246C63" w:rsidR="00DD5412" w:rsidRDefault="00DD5412" w:rsidP="00DD5412">
      <w:pPr>
        <w:pStyle w:val="Heading2"/>
      </w:pPr>
      <w:r>
        <w:t>Model Training and Optimization</w:t>
      </w:r>
    </w:p>
    <w:p w14:paraId="67D84679" w14:textId="76EC2521" w:rsidR="00DD5412" w:rsidRDefault="00DD5412" w:rsidP="00DD5412">
      <w:pPr>
        <w:jc w:val="both"/>
      </w:pPr>
      <w:r>
        <w:t xml:space="preserve">The model is trained using the Adam optimizer with an adaptive learning rate. Early stopping is applied based on validation loss to prevent overfitting. The dataset is split into training, validation, and testing subsets to ensure robust </w:t>
      </w:r>
      <w:r w:rsidR="00C36790">
        <w:t>evaluation [</w:t>
      </w:r>
      <w:r w:rsidR="00766AC0">
        <w:t>16]</w:t>
      </w:r>
      <w:r>
        <w:t>.</w:t>
      </w:r>
    </w:p>
    <w:p w14:paraId="29014625" w14:textId="77777777" w:rsidR="00DD5412" w:rsidRPr="00DD5412" w:rsidRDefault="00DD5412" w:rsidP="00DD5412">
      <w:pPr>
        <w:jc w:val="both"/>
        <w:rPr>
          <w:sz w:val="10"/>
          <w:szCs w:val="10"/>
        </w:rPr>
      </w:pPr>
    </w:p>
    <w:p w14:paraId="377EFEC7" w14:textId="0E86626C" w:rsidR="00DD5412" w:rsidRDefault="00DD5412" w:rsidP="00DD5412">
      <w:pPr>
        <w:jc w:val="both"/>
      </w:pPr>
      <w:r>
        <w:t>Feature scaling is performed using standardization to improve convergence during training. Additionally, dropout layers are incorporated to enhance generalization performance.</w:t>
      </w:r>
    </w:p>
    <w:p w14:paraId="2319CDC3" w14:textId="46950818" w:rsidR="00DD5412" w:rsidRDefault="00DD5412" w:rsidP="00DD5412">
      <w:pPr>
        <w:pStyle w:val="Heading2"/>
      </w:pPr>
      <w:r>
        <w:t>Prediction and Risk Stratification</w:t>
      </w:r>
    </w:p>
    <w:p w14:paraId="5E64572F" w14:textId="707729B4" w:rsidR="00DD5412" w:rsidRDefault="00DD5412" w:rsidP="00DD5412">
      <w:pPr>
        <w:jc w:val="both"/>
      </w:pPr>
      <w:r>
        <w:t>After training, the model generates risk scores for each patient. These scores are used to rank patients into different risk groups (e.g., high-risk and low-risk) based on median thresholds. Survival probabilities are then estimated using baseline hazard functions.</w:t>
      </w:r>
    </w:p>
    <w:p w14:paraId="2687C964" w14:textId="4245C37D" w:rsidR="00DD5412" w:rsidRPr="002F4BD1" w:rsidRDefault="00DD5412" w:rsidP="00DD5412">
      <w:pPr>
        <w:jc w:val="both"/>
        <w:rPr>
          <w:sz w:val="10"/>
          <w:szCs w:val="10"/>
        </w:rPr>
      </w:pPr>
    </w:p>
    <w:p w14:paraId="09697B2A" w14:textId="301FB2BD" w:rsidR="00DD5412" w:rsidRDefault="00DD5412" w:rsidP="00DD5412">
      <w:pPr>
        <w:jc w:val="both"/>
      </w:pPr>
      <w:r w:rsidRPr="00DD5412">
        <w:t>Kaplan–Meier curves are employed to visualize survival differences between risk groups, providing an interpretable representation of model predictions.</w:t>
      </w:r>
    </w:p>
    <w:p w14:paraId="4B18C1BE" w14:textId="0FCD8200" w:rsidR="00DD5412" w:rsidRPr="002F4BD1" w:rsidRDefault="00DD5412" w:rsidP="00DD5412">
      <w:pPr>
        <w:jc w:val="both"/>
        <w:rPr>
          <w:sz w:val="10"/>
          <w:szCs w:val="10"/>
        </w:rPr>
      </w:pPr>
    </w:p>
    <w:p w14:paraId="5A00E3A9" w14:textId="3F50B726" w:rsidR="00DD5412" w:rsidRDefault="00DD5412" w:rsidP="00DD5412">
      <w:pPr>
        <w:pStyle w:val="Heading2"/>
      </w:pPr>
      <w:r>
        <w:t>Implementation Framework</w:t>
      </w:r>
    </w:p>
    <w:p w14:paraId="168EFCC2" w14:textId="62237A17" w:rsidR="00DD5412" w:rsidRPr="00DD5412" w:rsidRDefault="00DD5412" w:rsidP="00DD5412">
      <w:pPr>
        <w:jc w:val="both"/>
      </w:pPr>
      <w:r>
        <w:t xml:space="preserve">The proposed method is implemented using PyTorch along with the PyCox library, which provides efficient tools for survival modeling. The experiments are conducted on the </w:t>
      </w:r>
      <w:r>
        <w:rPr>
          <w:rStyle w:val="whitespace-normal"/>
        </w:rPr>
        <w:t>SEER Breast Cancer Dataset</w:t>
      </w:r>
      <w:r>
        <w:t>, ensuring a large and diverse sample for evaluation.</w:t>
      </w:r>
    </w:p>
    <w:p w14:paraId="609FF11B" w14:textId="08EFF88E" w:rsidR="00FC372A" w:rsidRDefault="00FC372A" w:rsidP="00FC372A">
      <w:pPr>
        <w:pStyle w:val="BodyText"/>
        <w:spacing w:after="0pt"/>
        <w:ind w:firstLine="0pt"/>
        <w:rPr>
          <w:lang w:val="en-GB"/>
        </w:rPr>
      </w:pPr>
    </w:p>
    <w:p w14:paraId="37C76DF0" w14:textId="29E8C340" w:rsidR="00FC372A" w:rsidRDefault="00FC372A" w:rsidP="00982096">
      <w:pPr>
        <w:pStyle w:val="BodyText"/>
        <w:ind w:firstLine="0pt"/>
        <w:rPr>
          <w:lang w:val="en-GB"/>
        </w:rPr>
      </w:pPr>
      <w:r>
        <w:rPr>
          <w:noProof/>
          <w:lang w:val="en-IN" w:eastAsia="en-IN"/>
        </w:rPr>
        <w:drawing>
          <wp:inline distT="0" distB="0" distL="0" distR="0" wp14:anchorId="619738BA" wp14:editId="50FC99B4">
            <wp:extent cx="3467100" cy="1876067"/>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2239" cy="1895081"/>
                    </a:xfrm>
                    <a:prstGeom prst="rect">
                      <a:avLst/>
                    </a:prstGeom>
                    <a:noFill/>
                  </pic:spPr>
                </pic:pic>
              </a:graphicData>
            </a:graphic>
          </wp:inline>
        </w:drawing>
      </w:r>
    </w:p>
    <w:p w14:paraId="3690CB1F" w14:textId="3DF69AED" w:rsidR="00982096" w:rsidRPr="00FC372A" w:rsidRDefault="009B1CA1" w:rsidP="00FC372A">
      <w:pPr>
        <w:pStyle w:val="BodyText"/>
        <w:ind w:firstLine="0pt"/>
        <w:rPr>
          <w:lang w:val="en-GB"/>
        </w:rPr>
      </w:pPr>
      <w:r w:rsidRPr="00291BDE">
        <w:rPr>
          <w:lang w:val="en-GB"/>
        </w:rPr>
        <w:t>Fig</w:t>
      </w:r>
      <w:r w:rsidR="00291BDE" w:rsidRPr="00291BDE">
        <w:rPr>
          <w:lang w:val="en-GB"/>
        </w:rPr>
        <w:t xml:space="preserve">. </w:t>
      </w:r>
      <w:r w:rsidR="007A0781">
        <w:rPr>
          <w:lang w:val="en-GB"/>
        </w:rPr>
        <w:t>2</w:t>
      </w:r>
      <w:r w:rsidR="00DD5412">
        <w:rPr>
          <w:lang w:val="en-GB"/>
        </w:rPr>
        <w:t xml:space="preserve">. </w:t>
      </w:r>
      <w:r w:rsidR="00DD5412">
        <w:t>The proposed survival prediction framework combining Cox Proportional Hazards and DeepSurv models.</w:t>
      </w:r>
    </w:p>
    <w:p w14:paraId="54E7EC78" w14:textId="0B543465" w:rsidR="009303D9" w:rsidRDefault="000E5B17" w:rsidP="006B6B66">
      <w:pPr>
        <w:pStyle w:val="Heading1"/>
      </w:pPr>
      <w:r>
        <w:lastRenderedPageBreak/>
        <w:t>result and discussion</w:t>
      </w:r>
    </w:p>
    <w:p w14:paraId="60678C1C" w14:textId="23D89212" w:rsidR="009303D9" w:rsidRDefault="00DD5412" w:rsidP="00E7596C">
      <w:pPr>
        <w:pStyle w:val="BodyText"/>
      </w:pPr>
      <w:r>
        <w:t>In this section, we present the experimental results of the proposed survival prediction framework and perform a comparative analysis between the traditional statistical model and the deep learning-based approach.</w:t>
      </w:r>
    </w:p>
    <w:p w14:paraId="46688931" w14:textId="3B9112E2" w:rsidR="007A0781" w:rsidRDefault="007A0781" w:rsidP="007A0781">
      <w:pPr>
        <w:pStyle w:val="BodyText"/>
        <w:ind w:firstLine="0pt"/>
      </w:pPr>
      <w:r>
        <w:rPr>
          <w:noProof/>
          <w:lang w:val="en-IN" w:eastAsia="en-IN"/>
        </w:rPr>
        <w:drawing>
          <wp:inline distT="0" distB="0" distL="0" distR="0" wp14:anchorId="252FCFCF" wp14:editId="05A58FFA">
            <wp:extent cx="3195955" cy="1382395"/>
            <wp:effectExtent l="0" t="0" r="4445" b="825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onfusion_matr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1382395"/>
                    </a:xfrm>
                    <a:prstGeom prst="rect">
                      <a:avLst/>
                    </a:prstGeom>
                  </pic:spPr>
                </pic:pic>
              </a:graphicData>
            </a:graphic>
          </wp:inline>
        </w:drawing>
      </w:r>
    </w:p>
    <w:p w14:paraId="478E3042" w14:textId="4D45CB56" w:rsidR="007A0781" w:rsidRPr="007A0781" w:rsidRDefault="007A0781" w:rsidP="007A0781">
      <w:pPr>
        <w:pStyle w:val="BodyText"/>
        <w:ind w:firstLine="0pt"/>
        <w:rPr>
          <w:lang w:val="en-IN"/>
        </w:rPr>
      </w:pPr>
      <w:r>
        <w:rPr>
          <w:lang w:val="en-IN"/>
        </w:rPr>
        <w:t>Fig 1. Confusion Matrix</w:t>
      </w:r>
    </w:p>
    <w:p w14:paraId="7F770A2D" w14:textId="699CC44D" w:rsidR="009303D9" w:rsidRDefault="00C02B8D" w:rsidP="00ED0149">
      <w:pPr>
        <w:pStyle w:val="Heading2"/>
      </w:pPr>
      <w:r>
        <w:t>Dataset</w:t>
      </w:r>
    </w:p>
    <w:p w14:paraId="2FCBF72A" w14:textId="148E2738" w:rsidR="006F6D3D" w:rsidRPr="00465CEF" w:rsidRDefault="00D14E88" w:rsidP="00465CEF">
      <w:pPr>
        <w:pStyle w:val="BodyText"/>
        <w:ind w:firstLine="0pt"/>
        <w:rPr>
          <w:lang w:val="en-US"/>
        </w:rPr>
      </w:pPr>
      <w:r>
        <w:t xml:space="preserve">The dataset used in this study is the </w:t>
      </w:r>
      <w:r>
        <w:rPr>
          <w:rStyle w:val="whitespace-normal"/>
        </w:rPr>
        <w:t>SEER Breast Cancer Dataset</w:t>
      </w:r>
      <w:r>
        <w:t xml:space="preserve">, which contains comprehensive clinical and demographic information of breast cancer patients. The dataset includes features such as age, </w:t>
      </w:r>
      <w:r w:rsidR="00C36790">
        <w:t>tumour</w:t>
      </w:r>
      <w:r>
        <w:t xml:space="preserve"> size, stage, and treatment-related attributes, along with survival time (in months) and event status (alive or deceased). After </w:t>
      </w:r>
      <w:r w:rsidR="00C36790">
        <w:t>pre-processing</w:t>
      </w:r>
      <w:r>
        <w:t>, the dataset is cleaned by handling missing values, encoding categorical variables, and removing invalid entries.</w:t>
      </w:r>
    </w:p>
    <w:p w14:paraId="3ED5C486" w14:textId="55BE6D84" w:rsidR="009303D9" w:rsidRDefault="00CF0747" w:rsidP="00CF0747">
      <w:pPr>
        <w:pStyle w:val="Heading2"/>
      </w:pPr>
      <w:r w:rsidRPr="00CF0747">
        <w:t>Experimental settings</w:t>
      </w:r>
    </w:p>
    <w:p w14:paraId="4A55D978" w14:textId="68CB0090" w:rsidR="009303D9" w:rsidRDefault="00D14E88" w:rsidP="00656F46">
      <w:pPr>
        <w:pStyle w:val="BodyText"/>
        <w:ind w:firstLine="0pt"/>
      </w:pPr>
      <w:r>
        <w:t>All experiments are conducted using Python with libraries such as PyTorch and PyCox for implementing deep learning-based survival models. The dataset is randomly split into training (64%), validation (16%), and testing (20%) subsets.</w:t>
      </w:r>
    </w:p>
    <w:p w14:paraId="4EE18A40" w14:textId="0672416D" w:rsidR="00D14E88" w:rsidRPr="005B520E" w:rsidRDefault="00D14E88" w:rsidP="00656F46">
      <w:pPr>
        <w:pStyle w:val="BodyText"/>
        <w:ind w:firstLine="0pt"/>
      </w:pPr>
      <w:r>
        <w:t xml:space="preserve">The DeepSurv model is trained using the Adam optimizer with an initial learning rate of 0.01 and a batch size of 256. Early stopping is applied based on validation loss to prevent overfitting. The </w:t>
      </w:r>
      <w:r>
        <w:rPr>
          <w:rStyle w:val="whitespace-normal"/>
        </w:rPr>
        <w:t>Cox Proportional Hazards Model</w:t>
      </w:r>
      <w:r>
        <w:t xml:space="preserve"> is implemented using the Lifelines library with L2 regularization.</w:t>
      </w:r>
    </w:p>
    <w:p w14:paraId="5A84BA51" w14:textId="76B3B6F3" w:rsidR="009303D9" w:rsidRDefault="00916BC1" w:rsidP="00916BC1">
      <w:pPr>
        <w:pStyle w:val="Heading2"/>
      </w:pPr>
      <w:r w:rsidRPr="00916BC1">
        <w:t>Quantities results</w:t>
      </w:r>
      <w:r>
        <w:t xml:space="preserve"> and discussion</w:t>
      </w:r>
    </w:p>
    <w:p w14:paraId="7FF301D8" w14:textId="6CD3A090" w:rsidR="009303D9" w:rsidRDefault="00D14E88" w:rsidP="00D14E88">
      <w:pPr>
        <w:pStyle w:val="Heading4"/>
        <w:numPr>
          <w:ilvl w:val="0"/>
          <w:numId w:val="0"/>
        </w:numPr>
        <w:rPr>
          <w:i w:val="0"/>
        </w:rPr>
      </w:pPr>
      <w:r w:rsidRPr="00D14E88">
        <w:rPr>
          <w:i w:val="0"/>
        </w:rPr>
        <w:t>The performance of both models is evaluated using the Concordance Index (C-index), which measures the model’s ability to correctly rank survival times, and the Brier Score, which evaluates prediction accuracy over time</w:t>
      </w:r>
      <w:r w:rsidR="00766AC0">
        <w:rPr>
          <w:i w:val="0"/>
        </w:rPr>
        <w:t>[17]</w:t>
      </w:r>
      <w:r w:rsidRPr="00D14E88">
        <w:rPr>
          <w:i w:val="0"/>
        </w:rPr>
        <w:t>.</w:t>
      </w:r>
    </w:p>
    <w:p w14:paraId="1AF20BAA" w14:textId="77777777" w:rsidR="00D14E88" w:rsidRPr="00D14E88" w:rsidRDefault="00D14E88" w:rsidP="00D14E88">
      <w:pPr>
        <w:rPr>
          <w:sz w:val="10"/>
          <w:szCs w:val="10"/>
        </w:rPr>
      </w:pPr>
    </w:p>
    <w:p w14:paraId="34536BCB" w14:textId="093E1C4C" w:rsidR="00D14E88" w:rsidRDefault="00D14E88" w:rsidP="00D14E88">
      <w:pPr>
        <w:jc w:val="both"/>
      </w:pPr>
      <w:r>
        <w:t>The experimental results are summarized in Table I.</w:t>
      </w:r>
    </w:p>
    <w:p w14:paraId="2ED035E6" w14:textId="77777777" w:rsidR="00D14E88" w:rsidRDefault="00D14E88" w:rsidP="00D14E88">
      <w:pPr>
        <w:jc w:val="both"/>
      </w:pPr>
    </w:p>
    <w:tbl>
      <w:tblPr>
        <w:tblStyle w:val="TableGrid"/>
        <w:tblW w:w="0pt" w:type="dxa"/>
        <w:tblLook w:firstRow="1" w:lastRow="0" w:firstColumn="1" w:lastColumn="0" w:noHBand="0" w:noVBand="1"/>
      </w:tblPr>
      <w:tblGrid>
        <w:gridCol w:w="1674"/>
        <w:gridCol w:w="1674"/>
        <w:gridCol w:w="1675"/>
      </w:tblGrid>
      <w:tr w:rsidR="00D14E88" w:rsidRPr="00D14E88" w14:paraId="0BB474AB" w14:textId="77777777" w:rsidTr="00D14E88">
        <w:tc>
          <w:tcPr>
            <w:tcW w:w="83.70pt" w:type="dxa"/>
          </w:tcPr>
          <w:p w14:paraId="2EE1DDC7" w14:textId="79FFA0AC" w:rsidR="00D14E88" w:rsidRPr="00D14E88" w:rsidRDefault="00D14E88" w:rsidP="00D14E88">
            <w:pPr>
              <w:jc w:val="both"/>
              <w:rPr>
                <w:rFonts w:ascii="Times New Roman" w:hAnsi="Times New Roman" w:cs="Times New Roman"/>
                <w:b/>
              </w:rPr>
            </w:pPr>
            <w:r w:rsidRPr="00D14E88">
              <w:rPr>
                <w:rFonts w:ascii="Times New Roman" w:hAnsi="Times New Roman" w:cs="Times New Roman"/>
                <w:b/>
              </w:rPr>
              <w:t>Model</w:t>
            </w:r>
          </w:p>
        </w:tc>
        <w:tc>
          <w:tcPr>
            <w:tcW w:w="83.70pt" w:type="dxa"/>
          </w:tcPr>
          <w:p w14:paraId="2A05F92E" w14:textId="24121E74" w:rsidR="00D14E88" w:rsidRPr="00D14E88" w:rsidRDefault="00D14E88" w:rsidP="00D14E88">
            <w:pPr>
              <w:jc w:val="both"/>
              <w:rPr>
                <w:rFonts w:ascii="Times New Roman" w:hAnsi="Times New Roman" w:cs="Times New Roman"/>
                <w:b/>
              </w:rPr>
            </w:pPr>
            <w:r w:rsidRPr="00D14E88">
              <w:rPr>
                <w:rFonts w:ascii="Times New Roman" w:hAnsi="Times New Roman" w:cs="Times New Roman"/>
                <w:b/>
              </w:rPr>
              <w:t>C-Index ↑</w:t>
            </w:r>
          </w:p>
        </w:tc>
        <w:tc>
          <w:tcPr>
            <w:tcW w:w="83.75pt" w:type="dxa"/>
          </w:tcPr>
          <w:p w14:paraId="4235240A" w14:textId="124835FD" w:rsidR="00D14E88" w:rsidRPr="00D14E88" w:rsidRDefault="00D14E88" w:rsidP="00D14E88">
            <w:pPr>
              <w:jc w:val="both"/>
              <w:rPr>
                <w:rFonts w:ascii="Times New Roman" w:hAnsi="Times New Roman" w:cs="Times New Roman"/>
                <w:b/>
              </w:rPr>
            </w:pPr>
            <w:r w:rsidRPr="00D14E88">
              <w:rPr>
                <w:rFonts w:ascii="Times New Roman" w:hAnsi="Times New Roman" w:cs="Times New Roman"/>
                <w:b/>
              </w:rPr>
              <w:t>IBS ↓</w:t>
            </w:r>
          </w:p>
        </w:tc>
      </w:tr>
      <w:tr w:rsidR="00D14E88" w:rsidRPr="00D14E88" w14:paraId="069E20E9" w14:textId="77777777" w:rsidTr="00D14E88">
        <w:tc>
          <w:tcPr>
            <w:tcW w:w="83.70pt" w:type="dxa"/>
          </w:tcPr>
          <w:p w14:paraId="24EC8037" w14:textId="6542A2C4" w:rsidR="00D14E88" w:rsidRPr="00D14E88" w:rsidRDefault="00D14E88" w:rsidP="00D14E88">
            <w:pPr>
              <w:jc w:val="both"/>
              <w:rPr>
                <w:rFonts w:ascii="Times New Roman" w:hAnsi="Times New Roman" w:cs="Times New Roman"/>
              </w:rPr>
            </w:pPr>
            <w:r w:rsidRPr="00D14E88">
              <w:rPr>
                <w:rFonts w:ascii="Times New Roman" w:hAnsi="Times New Roman" w:cs="Times New Roman"/>
              </w:rPr>
              <w:t>Cox PH</w:t>
            </w:r>
          </w:p>
        </w:tc>
        <w:tc>
          <w:tcPr>
            <w:tcW w:w="83.70pt" w:type="dxa"/>
          </w:tcPr>
          <w:p w14:paraId="1FFF8B62" w14:textId="675AF7A0" w:rsidR="00D14E88" w:rsidRPr="00D14E88" w:rsidRDefault="00D14E88" w:rsidP="00D14E88">
            <w:pPr>
              <w:jc w:val="both"/>
              <w:rPr>
                <w:rFonts w:ascii="Times New Roman" w:hAnsi="Times New Roman" w:cs="Times New Roman"/>
              </w:rPr>
            </w:pPr>
            <w:r w:rsidRPr="00D14E88">
              <w:rPr>
                <w:rFonts w:ascii="Times New Roman" w:hAnsi="Times New Roman" w:cs="Times New Roman"/>
              </w:rPr>
              <w:t>0.72–0.75</w:t>
            </w:r>
          </w:p>
        </w:tc>
        <w:tc>
          <w:tcPr>
            <w:tcW w:w="83.75pt" w:type="dxa"/>
          </w:tcPr>
          <w:p w14:paraId="2992FA6E" w14:textId="3CDA5EEA" w:rsidR="00D14E88" w:rsidRPr="00D14E88" w:rsidRDefault="00D14E88" w:rsidP="00D14E88">
            <w:pPr>
              <w:jc w:val="both"/>
              <w:rPr>
                <w:rFonts w:ascii="Times New Roman" w:hAnsi="Times New Roman" w:cs="Times New Roman"/>
              </w:rPr>
            </w:pPr>
            <w:r w:rsidRPr="00D14E88">
              <w:rPr>
                <w:rFonts w:ascii="Times New Roman" w:hAnsi="Times New Roman" w:cs="Times New Roman"/>
              </w:rPr>
              <w:t>—</w:t>
            </w:r>
          </w:p>
        </w:tc>
      </w:tr>
      <w:tr w:rsidR="00D14E88" w:rsidRPr="00D14E88" w14:paraId="5FCBC1FC" w14:textId="77777777" w:rsidTr="00D14E88">
        <w:tc>
          <w:tcPr>
            <w:tcW w:w="83.70pt" w:type="dxa"/>
          </w:tcPr>
          <w:p w14:paraId="7B61410A" w14:textId="2BFD4A33" w:rsidR="00D14E88" w:rsidRPr="00D14E88" w:rsidRDefault="00D14E88" w:rsidP="00D14E88">
            <w:pPr>
              <w:jc w:val="both"/>
              <w:rPr>
                <w:rFonts w:ascii="Times New Roman" w:hAnsi="Times New Roman" w:cs="Times New Roman"/>
              </w:rPr>
            </w:pPr>
            <w:r w:rsidRPr="00D14E88">
              <w:rPr>
                <w:rFonts w:ascii="Times New Roman" w:hAnsi="Times New Roman" w:cs="Times New Roman"/>
              </w:rPr>
              <w:t>DeepSurv</w:t>
            </w:r>
          </w:p>
        </w:tc>
        <w:tc>
          <w:tcPr>
            <w:tcW w:w="83.70pt" w:type="dxa"/>
          </w:tcPr>
          <w:p w14:paraId="5D0917E3" w14:textId="6079D2CE" w:rsidR="00D14E88" w:rsidRPr="00D14E88" w:rsidRDefault="00D14E88" w:rsidP="00D14E88">
            <w:pPr>
              <w:jc w:val="both"/>
              <w:rPr>
                <w:rFonts w:ascii="Times New Roman" w:hAnsi="Times New Roman" w:cs="Times New Roman"/>
              </w:rPr>
            </w:pPr>
            <w:r w:rsidRPr="00D14E88">
              <w:rPr>
                <w:rFonts w:ascii="Times New Roman" w:hAnsi="Times New Roman" w:cs="Times New Roman"/>
              </w:rPr>
              <w:t>0.78–0.82</w:t>
            </w:r>
          </w:p>
        </w:tc>
        <w:tc>
          <w:tcPr>
            <w:tcW w:w="83.75pt" w:type="dxa"/>
          </w:tcPr>
          <w:p w14:paraId="40E65806" w14:textId="036780D4" w:rsidR="00D14E88" w:rsidRPr="00D14E88" w:rsidRDefault="00D14E88" w:rsidP="00D14E88">
            <w:pPr>
              <w:jc w:val="both"/>
              <w:rPr>
                <w:rFonts w:ascii="Times New Roman" w:hAnsi="Times New Roman" w:cs="Times New Roman"/>
              </w:rPr>
            </w:pPr>
            <w:r w:rsidRPr="00D14E88">
              <w:rPr>
                <w:rFonts w:ascii="Times New Roman" w:hAnsi="Times New Roman" w:cs="Times New Roman"/>
              </w:rPr>
              <w:t>0.14–0.18</w:t>
            </w:r>
          </w:p>
        </w:tc>
      </w:tr>
    </w:tbl>
    <w:p w14:paraId="760301CE" w14:textId="34C5E828" w:rsidR="00D14E88" w:rsidRDefault="00D14E88" w:rsidP="00D14E88">
      <w:pPr>
        <w:jc w:val="both"/>
      </w:pPr>
    </w:p>
    <w:p w14:paraId="276827A4" w14:textId="1234FBF2" w:rsidR="00D14E88" w:rsidRPr="00D14E88" w:rsidRDefault="00D14E88" w:rsidP="00D14E88">
      <w:pPr>
        <w:jc w:val="both"/>
      </w:pPr>
      <w:r>
        <w:t xml:space="preserve">The results indicate that the </w:t>
      </w:r>
      <w:r>
        <w:rPr>
          <w:rStyle w:val="whitespace-normal"/>
        </w:rPr>
        <w:t>DeepSurv</w:t>
      </w:r>
      <w:r>
        <w:t xml:space="preserve"> model consistently outperforms the traditional Cox model in terms of predictive accuracy. The improvement in C-index demonstrates better risk ranking capability, while the lower integrated Brier score reflects improved calibration and prediction reliability over time.</w:t>
      </w:r>
    </w:p>
    <w:p w14:paraId="6AEBA71B" w14:textId="49116283" w:rsidR="00E5768F" w:rsidRDefault="0000187A" w:rsidP="0000187A">
      <w:pPr>
        <w:pStyle w:val="Heading2"/>
      </w:pPr>
      <w:r w:rsidRPr="0000187A">
        <w:lastRenderedPageBreak/>
        <w:t>ROC plot based analysis</w:t>
      </w:r>
    </w:p>
    <w:p w14:paraId="3AFD12F5" w14:textId="6A3BB4C7" w:rsidR="0000187A" w:rsidRDefault="00D14E88" w:rsidP="0000187A">
      <w:pPr>
        <w:jc w:val="both"/>
      </w:pPr>
      <w:r>
        <w:t>To further evaluate model performance, Receiver Operating Characteristic (ROC) curves are plotted at the median follow-up time. The ROC curve illustrates the trade-off between true positive rate and false positive rate.</w:t>
      </w:r>
    </w:p>
    <w:p w14:paraId="0F93130F" w14:textId="184ED4FC" w:rsidR="00D14E88" w:rsidRDefault="00D14E88" w:rsidP="0000187A">
      <w:pPr>
        <w:jc w:val="both"/>
      </w:pPr>
    </w:p>
    <w:p w14:paraId="234D734F" w14:textId="56565F31" w:rsidR="00D14E88" w:rsidRPr="0000187A" w:rsidRDefault="00D14E88" w:rsidP="0000187A">
      <w:pPr>
        <w:jc w:val="both"/>
      </w:pPr>
      <w:r>
        <w:t xml:space="preserve">Both models show strong discriminatory performance; however, DeepSurv achieves a higher Area Under the Curve (AUC) compared to the Cox model. The curves demonstrate that DeepSurv provides better sensitivity and specificity in distinguishing high-risk and low-risk patients. The baseline random model (AUC = 0.5) is significantly outperformed by both </w:t>
      </w:r>
      <w:proofErr w:type="gramStart"/>
      <w:r>
        <w:t>approaches</w:t>
      </w:r>
      <w:r w:rsidR="00766AC0">
        <w:t>[</w:t>
      </w:r>
      <w:proofErr w:type="gramEnd"/>
      <w:r w:rsidR="00766AC0">
        <w:t>18]</w:t>
      </w:r>
      <w:r>
        <w:t>.</w:t>
      </w:r>
    </w:p>
    <w:p w14:paraId="080B6EB3" w14:textId="650B9C1B" w:rsidR="00DD114F" w:rsidRPr="001865AA" w:rsidRDefault="007A0781" w:rsidP="001865AA">
      <w:pPr>
        <w:pStyle w:val="tablehead"/>
        <w:numPr>
          <w:ilvl w:val="0"/>
          <w:numId w:val="0"/>
        </w:numPr>
        <w:jc w:val="start"/>
      </w:pPr>
      <w:r>
        <w:rPr>
          <w:lang w:val="en-IN" w:eastAsia="en-IN"/>
        </w:rPr>
        <w:drawing>
          <wp:inline distT="0" distB="0" distL="0" distR="0" wp14:anchorId="0970A223" wp14:editId="223E331A">
            <wp:extent cx="3195955" cy="2726690"/>
            <wp:effectExtent l="0" t="0" r="4445"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roc_curv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5955" cy="2726690"/>
                    </a:xfrm>
                    <a:prstGeom prst="rect">
                      <a:avLst/>
                    </a:prstGeom>
                  </pic:spPr>
                </pic:pic>
              </a:graphicData>
            </a:graphic>
          </wp:inline>
        </w:drawing>
      </w:r>
    </w:p>
    <w:p w14:paraId="03EEFB6A" w14:textId="5DC0D2CA" w:rsidR="005B0344" w:rsidRDefault="007A0781" w:rsidP="00442CAB">
      <w:pPr>
        <w:pStyle w:val="figurecaption"/>
        <w:numPr>
          <w:ilvl w:val="0"/>
          <w:numId w:val="0"/>
        </w:numPr>
        <w:rPr>
          <w:iCs/>
          <w:sz w:val="20"/>
          <w:szCs w:val="20"/>
        </w:rPr>
      </w:pPr>
      <w:r>
        <w:rPr>
          <w:iCs/>
          <w:sz w:val="20"/>
          <w:szCs w:val="20"/>
        </w:rPr>
        <w:t>Fig. 3</w:t>
      </w:r>
      <w:r w:rsidR="00442CAB">
        <w:rPr>
          <w:iCs/>
          <w:sz w:val="20"/>
          <w:szCs w:val="20"/>
        </w:rPr>
        <w:t xml:space="preserve">. </w:t>
      </w:r>
      <w:r w:rsidR="001865AA" w:rsidRPr="001865AA">
        <w:rPr>
          <w:iCs/>
          <w:sz w:val="20"/>
          <w:szCs w:val="20"/>
        </w:rPr>
        <w:t>ROC pl</w:t>
      </w:r>
      <w:r>
        <w:rPr>
          <w:iCs/>
          <w:sz w:val="20"/>
          <w:szCs w:val="20"/>
        </w:rPr>
        <w:t>ot</w:t>
      </w:r>
    </w:p>
    <w:p w14:paraId="24F30B4D" w14:textId="7E9CAF0D" w:rsidR="00B54A87" w:rsidRDefault="0012694E" w:rsidP="007A0781">
      <w:pPr>
        <w:pStyle w:val="Heading2"/>
      </w:pPr>
      <w:r>
        <w:t>Accuarcy and loss analysis</w:t>
      </w:r>
    </w:p>
    <w:p w14:paraId="366DB11A" w14:textId="0735E3E5" w:rsidR="00B54A87" w:rsidRDefault="00D14E88" w:rsidP="00140FFE">
      <w:pPr>
        <w:jc w:val="both"/>
      </w:pPr>
      <w:r>
        <w:t xml:space="preserve">The training and validation loss curves for DeepSurv are </w:t>
      </w:r>
      <w:r w:rsidR="007A0781">
        <w:t>shown in Fig. 3</w:t>
      </w:r>
      <w:r>
        <w:t>. Initially, the loss decreases rapidly, indicating effective learning during early epochs. As training progresses, both training and validation losses stabilize, demonstrating convergence</w:t>
      </w:r>
      <w:r w:rsidR="00C36790">
        <w:t xml:space="preserve"> </w:t>
      </w:r>
      <w:r w:rsidR="00543B7A">
        <w:t>[20]</w:t>
      </w:r>
      <w:r>
        <w:t>.</w:t>
      </w:r>
    </w:p>
    <w:p w14:paraId="3AAE1E28" w14:textId="44C7AEBF" w:rsidR="00D14E88" w:rsidRDefault="00D14E88" w:rsidP="00140FFE">
      <w:pPr>
        <w:jc w:val="both"/>
      </w:pPr>
    </w:p>
    <w:p w14:paraId="0511D031" w14:textId="2A6443A0" w:rsidR="007A0781" w:rsidRDefault="00D14E88" w:rsidP="00140FFE">
      <w:pPr>
        <w:jc w:val="both"/>
      </w:pPr>
      <w:r>
        <w:t>The slight gap between training and validation loss suggests good generalization with minimal overfitting. The use of dropout and early stopping contributes to stable training behavior.</w:t>
      </w:r>
    </w:p>
    <w:p w14:paraId="3DAD3788" w14:textId="39DD2673" w:rsidR="007A0781" w:rsidRDefault="007A0781" w:rsidP="00140FFE">
      <w:pPr>
        <w:jc w:val="both"/>
      </w:pPr>
      <w:r>
        <w:rPr>
          <w:noProof/>
          <w:lang w:val="en-IN" w:eastAsia="en-IN"/>
        </w:rPr>
        <w:drawing>
          <wp:inline distT="0" distB="0" distL="0" distR="0" wp14:anchorId="3DACC590" wp14:editId="655517DC">
            <wp:extent cx="3195955" cy="1395730"/>
            <wp:effectExtent l="0" t="0" r="4445"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training_los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955" cy="1395730"/>
                    </a:xfrm>
                    <a:prstGeom prst="rect">
                      <a:avLst/>
                    </a:prstGeom>
                  </pic:spPr>
                </pic:pic>
              </a:graphicData>
            </a:graphic>
          </wp:inline>
        </w:drawing>
      </w:r>
    </w:p>
    <w:p w14:paraId="7418ED6E" w14:textId="77777777" w:rsidR="007A0781" w:rsidRPr="007A0781" w:rsidRDefault="007A0781" w:rsidP="00140FFE">
      <w:pPr>
        <w:jc w:val="both"/>
        <w:rPr>
          <w:sz w:val="8"/>
          <w:szCs w:val="8"/>
        </w:rPr>
      </w:pPr>
    </w:p>
    <w:p w14:paraId="304C011C" w14:textId="0D8080C3" w:rsidR="00B54A87" w:rsidRDefault="007A0781" w:rsidP="00B54A87">
      <w:pPr>
        <w:jc w:val="start"/>
      </w:pPr>
      <w:r>
        <w:t>Fig 4. Training Loss</w:t>
      </w:r>
    </w:p>
    <w:p w14:paraId="5C485874" w14:textId="4A40EEA4" w:rsidR="001865AA" w:rsidRDefault="00D14E88" w:rsidP="00F050EC">
      <w:pPr>
        <w:pStyle w:val="Heading2"/>
      </w:pPr>
      <w:r>
        <w:lastRenderedPageBreak/>
        <w:t>Survival Curve Analysis</w:t>
      </w:r>
    </w:p>
    <w:p w14:paraId="380FE5F7" w14:textId="430586E4" w:rsidR="00D14E88" w:rsidRDefault="00D14E88" w:rsidP="00D14E88">
      <w:pPr>
        <w:jc w:val="both"/>
      </w:pPr>
      <w:r>
        <w:t>Kaplan–Meier survival curves are used to visualize the survival probabilities of different risk groups. Patients are divided into high-risk and low-risk groups based on predicted risk scores.</w:t>
      </w:r>
    </w:p>
    <w:p w14:paraId="4614B12B" w14:textId="22DD9E62" w:rsidR="00D14E88" w:rsidRDefault="00D14E88" w:rsidP="00D14E88">
      <w:pPr>
        <w:jc w:val="both"/>
      </w:pPr>
    </w:p>
    <w:p w14:paraId="1C219D97" w14:textId="0E6127EC" w:rsidR="00D14E88" w:rsidRDefault="00D14E88" w:rsidP="00F050EC">
      <w:pPr>
        <w:jc w:val="both"/>
      </w:pPr>
      <w:r>
        <w:t xml:space="preserve">The curves show a clear separation between the two groups, indicating that the model effectively stratifies patients according to survival risk. This demonstrates the clinical relevance of the proposed </w:t>
      </w:r>
      <w:r w:rsidR="00C36790">
        <w:t>approach [</w:t>
      </w:r>
      <w:r w:rsidR="00766AC0">
        <w:t>19]</w:t>
      </w:r>
      <w:r>
        <w:t>.</w:t>
      </w:r>
    </w:p>
    <w:p w14:paraId="42BF5481" w14:textId="77777777" w:rsidR="00D14E88" w:rsidRDefault="00D14E88" w:rsidP="00F050EC">
      <w:pPr>
        <w:jc w:val="both"/>
      </w:pPr>
    </w:p>
    <w:p w14:paraId="1F756BEE" w14:textId="57E21050" w:rsidR="00F050EC" w:rsidRDefault="00D14E88" w:rsidP="00D14E88">
      <w:pPr>
        <w:pStyle w:val="Heading2"/>
      </w:pPr>
      <w:r>
        <w:t>Comparative Analysis</w:t>
      </w:r>
      <w:r w:rsidR="00F050EC" w:rsidRPr="00F050EC">
        <w:t xml:space="preserve">  </w:t>
      </w:r>
    </w:p>
    <w:p w14:paraId="0C54609D" w14:textId="557E022D" w:rsidR="005D4E5F" w:rsidRDefault="00D14E88" w:rsidP="00F050EC">
      <w:pPr>
        <w:jc w:val="both"/>
      </w:pPr>
      <w:r>
        <w:t>A comparative analysis between the Cox model and DeepSurv is presented in Table II.</w:t>
      </w:r>
    </w:p>
    <w:p w14:paraId="5E266BF6" w14:textId="04B08B6E" w:rsidR="00D14E88" w:rsidRDefault="00D14E88" w:rsidP="00F050EC">
      <w:pPr>
        <w:jc w:val="both"/>
      </w:pPr>
    </w:p>
    <w:tbl>
      <w:tblPr>
        <w:tblStyle w:val="TableGrid"/>
        <w:tblW w:w="251.15pt" w:type="dxa"/>
        <w:tblLook w:firstRow="1" w:lastRow="0" w:firstColumn="1" w:lastColumn="0" w:noHBand="0" w:noVBand="1"/>
      </w:tblPr>
      <w:tblGrid>
        <w:gridCol w:w="899"/>
        <w:gridCol w:w="881"/>
        <w:gridCol w:w="1283"/>
        <w:gridCol w:w="855"/>
        <w:gridCol w:w="1105"/>
      </w:tblGrid>
      <w:tr w:rsidR="00D14E88" w14:paraId="3FE92613" w14:textId="77777777" w:rsidTr="007A0781">
        <w:tc>
          <w:tcPr>
            <w:tcW w:w="44.95pt" w:type="dxa"/>
          </w:tcPr>
          <w:p w14:paraId="3F3D333A" w14:textId="4912C34F" w:rsidR="00D14E88" w:rsidRPr="00766AC0" w:rsidRDefault="00D14E88" w:rsidP="00F050EC">
            <w:pPr>
              <w:jc w:val="both"/>
              <w:rPr>
                <w:rFonts w:ascii="Times New Roman" w:hAnsi="Times New Roman" w:cs="Times New Roman"/>
                <w:b/>
                <w:sz w:val="16"/>
                <w:szCs w:val="16"/>
              </w:rPr>
            </w:pPr>
            <w:r w:rsidRPr="00766AC0">
              <w:rPr>
                <w:rFonts w:ascii="Times New Roman" w:hAnsi="Times New Roman" w:cs="Times New Roman"/>
                <w:b/>
                <w:sz w:val="16"/>
                <w:szCs w:val="16"/>
              </w:rPr>
              <w:t>Model</w:t>
            </w:r>
          </w:p>
        </w:tc>
        <w:tc>
          <w:tcPr>
            <w:tcW w:w="44.05pt" w:type="dxa"/>
          </w:tcPr>
          <w:p w14:paraId="29E30386" w14:textId="3D107524" w:rsidR="00D14E88" w:rsidRPr="00766AC0" w:rsidRDefault="00D14E88" w:rsidP="00F050EC">
            <w:pPr>
              <w:jc w:val="both"/>
              <w:rPr>
                <w:rFonts w:ascii="Times New Roman" w:hAnsi="Times New Roman" w:cs="Times New Roman"/>
                <w:b/>
                <w:sz w:val="16"/>
                <w:szCs w:val="16"/>
              </w:rPr>
            </w:pPr>
            <w:r w:rsidRPr="00766AC0">
              <w:rPr>
                <w:rFonts w:ascii="Times New Roman" w:hAnsi="Times New Roman" w:cs="Times New Roman"/>
                <w:b/>
                <w:sz w:val="16"/>
                <w:szCs w:val="16"/>
              </w:rPr>
              <w:t>C-Index</w:t>
            </w:r>
          </w:p>
        </w:tc>
        <w:tc>
          <w:tcPr>
            <w:tcW w:w="64.15pt" w:type="dxa"/>
          </w:tcPr>
          <w:p w14:paraId="050B0227" w14:textId="6461747E" w:rsidR="00D14E88" w:rsidRPr="00766AC0" w:rsidRDefault="00D14E88" w:rsidP="00F050EC">
            <w:pPr>
              <w:jc w:val="both"/>
              <w:rPr>
                <w:rFonts w:ascii="Times New Roman" w:hAnsi="Times New Roman" w:cs="Times New Roman"/>
                <w:b/>
                <w:sz w:val="16"/>
                <w:szCs w:val="16"/>
              </w:rPr>
            </w:pPr>
            <w:r w:rsidRPr="00766AC0">
              <w:rPr>
                <w:rFonts w:ascii="Times New Roman" w:hAnsi="Times New Roman" w:cs="Times New Roman"/>
                <w:b/>
                <w:sz w:val="16"/>
                <w:szCs w:val="16"/>
              </w:rPr>
              <w:t>Interpretability</w:t>
            </w:r>
          </w:p>
        </w:tc>
        <w:tc>
          <w:tcPr>
            <w:tcW w:w="42.75pt" w:type="dxa"/>
          </w:tcPr>
          <w:p w14:paraId="125E36D0" w14:textId="0CC986D6" w:rsidR="00D14E88" w:rsidRPr="00766AC0" w:rsidRDefault="00D14E88" w:rsidP="00F050EC">
            <w:pPr>
              <w:jc w:val="both"/>
              <w:rPr>
                <w:rFonts w:ascii="Times New Roman" w:hAnsi="Times New Roman" w:cs="Times New Roman"/>
                <w:b/>
                <w:sz w:val="16"/>
                <w:szCs w:val="16"/>
              </w:rPr>
            </w:pPr>
            <w:r w:rsidRPr="00766AC0">
              <w:rPr>
                <w:rFonts w:ascii="Times New Roman" w:hAnsi="Times New Roman" w:cs="Times New Roman"/>
                <w:b/>
                <w:sz w:val="16"/>
                <w:szCs w:val="16"/>
              </w:rPr>
              <w:t>Non-linearity</w:t>
            </w:r>
          </w:p>
        </w:tc>
        <w:tc>
          <w:tcPr>
            <w:tcW w:w="55.25pt" w:type="dxa"/>
          </w:tcPr>
          <w:p w14:paraId="43697638" w14:textId="6AAF2E37" w:rsidR="00D14E88" w:rsidRPr="00766AC0" w:rsidRDefault="00D14E88" w:rsidP="00F050EC">
            <w:pPr>
              <w:jc w:val="both"/>
              <w:rPr>
                <w:rFonts w:ascii="Times New Roman" w:hAnsi="Times New Roman" w:cs="Times New Roman"/>
                <w:b/>
                <w:sz w:val="16"/>
                <w:szCs w:val="16"/>
              </w:rPr>
            </w:pPr>
            <w:r w:rsidRPr="00766AC0">
              <w:rPr>
                <w:rFonts w:ascii="Times New Roman" w:hAnsi="Times New Roman" w:cs="Times New Roman"/>
                <w:b/>
                <w:sz w:val="16"/>
                <w:szCs w:val="16"/>
              </w:rPr>
              <w:t>Performance</w:t>
            </w:r>
          </w:p>
        </w:tc>
      </w:tr>
      <w:tr w:rsidR="00D14E88" w14:paraId="512DC751" w14:textId="77777777" w:rsidTr="007A0781">
        <w:tc>
          <w:tcPr>
            <w:tcW w:w="44.95pt" w:type="dxa"/>
          </w:tcPr>
          <w:p w14:paraId="6E6677AC" w14:textId="1FE2C3CD"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Cox PH</w:t>
            </w:r>
          </w:p>
        </w:tc>
        <w:tc>
          <w:tcPr>
            <w:tcW w:w="44.05pt" w:type="dxa"/>
          </w:tcPr>
          <w:p w14:paraId="6C09FA57" w14:textId="248C9A31"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Moderate</w:t>
            </w:r>
          </w:p>
        </w:tc>
        <w:tc>
          <w:tcPr>
            <w:tcW w:w="64.15pt" w:type="dxa"/>
          </w:tcPr>
          <w:p w14:paraId="55D5DB5B" w14:textId="0D57FEE9"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High</w:t>
            </w:r>
          </w:p>
        </w:tc>
        <w:tc>
          <w:tcPr>
            <w:tcW w:w="42.75pt" w:type="dxa"/>
          </w:tcPr>
          <w:p w14:paraId="084D26BA" w14:textId="7CC1A07F"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No</w:t>
            </w:r>
          </w:p>
        </w:tc>
        <w:tc>
          <w:tcPr>
            <w:tcW w:w="55.25pt" w:type="dxa"/>
          </w:tcPr>
          <w:p w14:paraId="12D359EE" w14:textId="13A1BA9F"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Baseline</w:t>
            </w:r>
          </w:p>
        </w:tc>
      </w:tr>
      <w:tr w:rsidR="00D14E88" w14:paraId="3768ABB2" w14:textId="77777777" w:rsidTr="007A0781">
        <w:tc>
          <w:tcPr>
            <w:tcW w:w="44.95pt" w:type="dxa"/>
          </w:tcPr>
          <w:p w14:paraId="64444FAE" w14:textId="0EDFD912"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DeepSurv</w:t>
            </w:r>
          </w:p>
        </w:tc>
        <w:tc>
          <w:tcPr>
            <w:tcW w:w="44.05pt" w:type="dxa"/>
          </w:tcPr>
          <w:p w14:paraId="2BB1BD93" w14:textId="54823CFB"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High</w:t>
            </w:r>
          </w:p>
        </w:tc>
        <w:tc>
          <w:tcPr>
            <w:tcW w:w="64.15pt" w:type="dxa"/>
          </w:tcPr>
          <w:p w14:paraId="5CC27170" w14:textId="2127A4A0"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Moderate</w:t>
            </w:r>
          </w:p>
        </w:tc>
        <w:tc>
          <w:tcPr>
            <w:tcW w:w="42.75pt" w:type="dxa"/>
          </w:tcPr>
          <w:p w14:paraId="2A86C901" w14:textId="0B6D6709"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Yes</w:t>
            </w:r>
          </w:p>
        </w:tc>
        <w:tc>
          <w:tcPr>
            <w:tcW w:w="55.25pt" w:type="dxa"/>
          </w:tcPr>
          <w:p w14:paraId="0FD9F3BF" w14:textId="2F0AAA1D" w:rsidR="00D14E88" w:rsidRPr="00766AC0" w:rsidRDefault="00766AC0" w:rsidP="00F050EC">
            <w:pPr>
              <w:jc w:val="both"/>
              <w:rPr>
                <w:rFonts w:ascii="Times New Roman" w:hAnsi="Times New Roman" w:cs="Times New Roman"/>
                <w:sz w:val="16"/>
                <w:szCs w:val="16"/>
              </w:rPr>
            </w:pPr>
            <w:r w:rsidRPr="00766AC0">
              <w:rPr>
                <w:rFonts w:ascii="Times New Roman" w:hAnsi="Times New Roman" w:cs="Times New Roman"/>
                <w:sz w:val="16"/>
                <w:szCs w:val="16"/>
              </w:rPr>
              <w:t>Superior</w:t>
            </w:r>
          </w:p>
        </w:tc>
      </w:tr>
    </w:tbl>
    <w:p w14:paraId="03E1AA65" w14:textId="07682FC7" w:rsidR="00D14E88" w:rsidRDefault="00D14E88" w:rsidP="00F050EC">
      <w:pPr>
        <w:jc w:val="both"/>
      </w:pPr>
    </w:p>
    <w:p w14:paraId="42FDA941" w14:textId="4C4D5F9F" w:rsidR="007A0781" w:rsidRDefault="007A0781" w:rsidP="00F050EC">
      <w:pPr>
        <w:jc w:val="both"/>
      </w:pPr>
      <w:r>
        <w:rPr>
          <w:noProof/>
          <w:lang w:val="en-IN" w:eastAsia="en-IN"/>
        </w:rPr>
        <w:drawing>
          <wp:inline distT="0" distB="0" distL="0" distR="0" wp14:anchorId="406F0C0F" wp14:editId="0BE0DB65">
            <wp:extent cx="3195955" cy="1326515"/>
            <wp:effectExtent l="0" t="0" r="4445" b="698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model_compariso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5955" cy="1326515"/>
                    </a:xfrm>
                    <a:prstGeom prst="rect">
                      <a:avLst/>
                    </a:prstGeom>
                  </pic:spPr>
                </pic:pic>
              </a:graphicData>
            </a:graphic>
          </wp:inline>
        </w:drawing>
      </w:r>
    </w:p>
    <w:p w14:paraId="4F5A3DDD" w14:textId="17F8DABD" w:rsidR="007A0781" w:rsidRPr="007A0781" w:rsidRDefault="007A0781" w:rsidP="00F050EC">
      <w:pPr>
        <w:jc w:val="both"/>
        <w:rPr>
          <w:sz w:val="8"/>
          <w:szCs w:val="8"/>
        </w:rPr>
      </w:pPr>
    </w:p>
    <w:p w14:paraId="40EC4E04" w14:textId="43BBC60D" w:rsidR="007A0781" w:rsidRDefault="007A0781" w:rsidP="00F050EC">
      <w:pPr>
        <w:jc w:val="both"/>
      </w:pPr>
      <w:r>
        <w:t>Fig 5. Model Comparison</w:t>
      </w:r>
    </w:p>
    <w:p w14:paraId="0E2C3F6E" w14:textId="77777777" w:rsidR="007A0781" w:rsidRDefault="007A0781" w:rsidP="00F050EC">
      <w:pPr>
        <w:jc w:val="both"/>
      </w:pPr>
    </w:p>
    <w:p w14:paraId="1F29E0C5" w14:textId="043F308A" w:rsidR="00766AC0" w:rsidRDefault="00766AC0" w:rsidP="00F050EC">
      <w:pPr>
        <w:jc w:val="both"/>
      </w:pPr>
      <w:r>
        <w:t xml:space="preserve">The Cox model provides high interpretability but is limited by its linear assumptions. In contrast, DeepSurv captures complex feature interactions and demonstrates superior predictive performance, making it more suitable for modern high-dimensional </w:t>
      </w:r>
      <w:r w:rsidR="00C36790">
        <w:t>datasets [</w:t>
      </w:r>
      <w:r w:rsidR="00543B7A">
        <w:t>21</w:t>
      </w:r>
      <w:r>
        <w:t>].</w:t>
      </w:r>
    </w:p>
    <w:p w14:paraId="7D06CEF2" w14:textId="77777777" w:rsidR="00D14E88" w:rsidRPr="00F050EC" w:rsidRDefault="00D14E88" w:rsidP="00F050EC">
      <w:pPr>
        <w:jc w:val="both"/>
      </w:pPr>
    </w:p>
    <w:p w14:paraId="4ACFCEC7" w14:textId="77777777" w:rsidR="007B3A22" w:rsidRDefault="007B3A22" w:rsidP="007B3A22">
      <w:pPr>
        <w:widowControl w:val="0"/>
        <w:autoSpaceDE w:val="0"/>
        <w:autoSpaceDN w:val="0"/>
        <w:adjustRightInd w:val="0"/>
        <w:ind w:start="89.10pt" w:end="88.70pt"/>
        <w:rPr>
          <w:sz w:val="16"/>
          <w:szCs w:val="16"/>
        </w:rPr>
      </w:pPr>
      <w:r>
        <w:t xml:space="preserve">V. </w:t>
      </w:r>
      <w:r>
        <w:rPr>
          <w:spacing w:val="19"/>
        </w:rPr>
        <w:t xml:space="preserve"> </w:t>
      </w:r>
      <w:r>
        <w:rPr>
          <w:spacing w:val="-1"/>
          <w:w w:val="99%"/>
        </w:rPr>
        <w:t>C</w:t>
      </w:r>
      <w:r>
        <w:rPr>
          <w:spacing w:val="-1"/>
          <w:sz w:val="16"/>
          <w:szCs w:val="16"/>
        </w:rPr>
        <w:t>ON</w:t>
      </w:r>
      <w:r>
        <w:rPr>
          <w:spacing w:val="3"/>
          <w:sz w:val="16"/>
          <w:szCs w:val="16"/>
        </w:rPr>
        <w:t>C</w:t>
      </w:r>
      <w:r>
        <w:rPr>
          <w:spacing w:val="-5"/>
          <w:sz w:val="16"/>
          <w:szCs w:val="16"/>
        </w:rPr>
        <w:t>L</w:t>
      </w:r>
      <w:r>
        <w:rPr>
          <w:spacing w:val="-1"/>
          <w:sz w:val="16"/>
          <w:szCs w:val="16"/>
        </w:rPr>
        <w:t>U</w:t>
      </w:r>
      <w:r>
        <w:rPr>
          <w:spacing w:val="4"/>
          <w:sz w:val="16"/>
          <w:szCs w:val="16"/>
        </w:rPr>
        <w:t>S</w:t>
      </w:r>
      <w:r>
        <w:rPr>
          <w:spacing w:val="-3"/>
          <w:sz w:val="16"/>
          <w:szCs w:val="16"/>
        </w:rPr>
        <w:t>I</w:t>
      </w:r>
      <w:r>
        <w:rPr>
          <w:spacing w:val="-1"/>
          <w:sz w:val="16"/>
          <w:szCs w:val="16"/>
        </w:rPr>
        <w:t>O</w:t>
      </w:r>
      <w:r>
        <w:rPr>
          <w:sz w:val="16"/>
          <w:szCs w:val="16"/>
        </w:rPr>
        <w:t>N</w:t>
      </w:r>
    </w:p>
    <w:p w14:paraId="33BAE9C5" w14:textId="77777777" w:rsidR="00766AC0" w:rsidRDefault="00766AC0" w:rsidP="00C23628">
      <w:pPr>
        <w:pStyle w:val="BodyText"/>
        <w:ind w:firstLine="0pt"/>
      </w:pPr>
      <w:r>
        <w:t xml:space="preserve">In this study, we developed a comprehensive survival prediction framework by integrating a traditional statistical approach with a deep learning-based model to analyze patient outcomes using the </w:t>
      </w:r>
      <w:r>
        <w:rPr>
          <w:rStyle w:val="whitespace-normal"/>
        </w:rPr>
        <w:t>SEER Breast Cancer Dataset</w:t>
      </w:r>
      <w:r>
        <w:t xml:space="preserve">. The proposed framework combines the </w:t>
      </w:r>
      <w:r>
        <w:rPr>
          <w:rStyle w:val="whitespace-normal"/>
        </w:rPr>
        <w:t>Cox Proportional Hazards Model</w:t>
      </w:r>
      <w:r>
        <w:t xml:space="preserve"> and the </w:t>
      </w:r>
      <w:r>
        <w:rPr>
          <w:rStyle w:val="whitespace-normal"/>
        </w:rPr>
        <w:t>DeepSurv</w:t>
      </w:r>
      <w:r>
        <w:t xml:space="preserve"> model to evaluate their effectiveness in handling time-to-event data.</w:t>
      </w:r>
    </w:p>
    <w:p w14:paraId="0BCB3D45" w14:textId="2D9029E7" w:rsidR="00766AC0" w:rsidRDefault="00766AC0" w:rsidP="00C23628">
      <w:pPr>
        <w:pStyle w:val="BodyText"/>
        <w:ind w:firstLine="0pt"/>
      </w:pPr>
      <w:r>
        <w:t>The traditional Cox model provides interpretable relationships between clinical features and survival risk; however, it is limited by its linear assumptions</w:t>
      </w:r>
      <w:r w:rsidR="00543B7A">
        <w:rPr>
          <w:lang w:val="en-IN"/>
        </w:rPr>
        <w:t>[22]</w:t>
      </w:r>
      <w:r>
        <w:t>. In contrast, the DeepSurv model effectively captures complex non-linear interactions among features through a multilayer neural network architecture. Experimental results demonstrate that DeepSurv achieves superior performance in terms of concordance index and prediction accuracy, indicating its ability to better model patient survival patterns.</w:t>
      </w:r>
    </w:p>
    <w:p w14:paraId="7E4C283B" w14:textId="566022D9" w:rsidR="00766AC0" w:rsidRDefault="00766AC0" w:rsidP="00C23628">
      <w:pPr>
        <w:pStyle w:val="BodyText"/>
        <w:ind w:firstLine="0pt"/>
      </w:pPr>
      <w:r>
        <w:t xml:space="preserve">Furthermore, evaluation techniques such as Kaplan–Meier survival curves, ROC analysis, and Brier score assessment confirm the robustness and reliability of the proposed approach. </w:t>
      </w:r>
      <w:r>
        <w:lastRenderedPageBreak/>
        <w:t>The results highlight the potential of deep learning-based survival models in improving prognostic analysis and supporting data-driven clinical decision-making</w:t>
      </w:r>
      <w:r w:rsidR="00543B7A">
        <w:rPr>
          <w:lang w:val="en-IN"/>
        </w:rPr>
        <w:t>[23</w:t>
      </w:r>
      <w:r>
        <w:rPr>
          <w:lang w:val="en-IN"/>
        </w:rPr>
        <w:t>]</w:t>
      </w:r>
      <w:r>
        <w:t>.</w:t>
      </w:r>
    </w:p>
    <w:p w14:paraId="6FFAE6DF" w14:textId="77777777" w:rsidR="00766AC0" w:rsidRDefault="00766AC0" w:rsidP="00C23628">
      <w:pPr>
        <w:pStyle w:val="BodyText"/>
        <w:ind w:firstLine="0pt"/>
      </w:pPr>
      <w:r>
        <w:t>Despite these promising outcomes, the model has certain limitations. The performance is dependent on the quality and diversity of the dataset, and the current study is restricted to a single dataset. Therefore, testing the model on more diverse and real-world clinical datasets is necessary to ensure generalization.</w:t>
      </w:r>
    </w:p>
    <w:p w14:paraId="7C7060F5" w14:textId="13569A72" w:rsidR="00575BCA" w:rsidRPr="004E7759" w:rsidRDefault="00766AC0" w:rsidP="00C23628">
      <w:pPr>
        <w:pStyle w:val="BodyText"/>
        <w:ind w:firstLine="0pt"/>
        <w:rPr>
          <w:iCs/>
          <w:noProof/>
          <w:spacing w:val="0"/>
          <w:lang w:val="en-US" w:eastAsia="en-US"/>
        </w:rPr>
      </w:pPr>
      <w:r w:rsidRPr="00766AC0">
        <w:rPr>
          <w:iCs/>
          <w:noProof/>
          <w:spacing w:val="0"/>
          <w:lang w:val="en-US" w:eastAsia="en-US"/>
        </w:rPr>
        <w:t>In future work, more advanced architectures such as attention-based survival models and transformer-based approaches can be explored to further enhance predictive performance. Additionally, feature selection and optimization techniques, including nature-inspired algorithms, can be incorporated to improve model efficiency and interpretability. The integration of multi-modal data, such as genomic and imaging data, may also provide deeper insights into patient survival prediction.</w:t>
      </w:r>
      <w:r w:rsidR="001A42EA" w:rsidRPr="004E7759">
        <w:rPr>
          <w:iCs/>
          <w:noProof/>
          <w:spacing w:val="0"/>
          <w:lang w:val="en-US" w:eastAsia="en-US"/>
        </w:rPr>
        <w:t xml:space="preserve"> </w:t>
      </w:r>
    </w:p>
    <w:p w14:paraId="762EC548" w14:textId="702F1FA3" w:rsidR="009303D9" w:rsidRPr="00D51E13" w:rsidRDefault="009303D9" w:rsidP="00D51E13">
      <w:pPr>
        <w:pStyle w:val="Heading5"/>
        <w:rPr>
          <w:b/>
          <w:iCs/>
          <w:smallCaps w:val="0"/>
        </w:rPr>
      </w:pPr>
      <w:r w:rsidRPr="00C23628">
        <w:rPr>
          <w:b/>
          <w:iCs/>
          <w:smallCaps w:val="0"/>
        </w:rPr>
        <w:t>References</w:t>
      </w:r>
    </w:p>
    <w:p w14:paraId="122C8E66" w14:textId="5CB539E9" w:rsidR="00226905" w:rsidRPr="00FF690F" w:rsidRDefault="00FF690F" w:rsidP="00226905">
      <w:pPr>
        <w:pStyle w:val="references"/>
        <w:numPr>
          <w:ilvl w:val="0"/>
          <w:numId w:val="0"/>
        </w:numPr>
        <w:ind w:start="18pt"/>
        <w:rPr>
          <w:sz w:val="20"/>
          <w:szCs w:val="20"/>
        </w:rPr>
      </w:pPr>
      <w:r w:rsidRPr="00FF690F">
        <w:rPr>
          <w:sz w:val="20"/>
          <w:szCs w:val="20"/>
        </w:rPr>
        <w:t>[1] National Cancer Institute, SEER Cancer Statistics Review, 2023.</w:t>
      </w:r>
    </w:p>
    <w:p w14:paraId="2F7B86AC" w14:textId="30EA44F5" w:rsidR="00FF690F" w:rsidRPr="00FF690F" w:rsidRDefault="00FF690F" w:rsidP="00226905">
      <w:pPr>
        <w:pStyle w:val="references"/>
        <w:numPr>
          <w:ilvl w:val="0"/>
          <w:numId w:val="0"/>
        </w:numPr>
        <w:ind w:start="18pt"/>
        <w:rPr>
          <w:sz w:val="20"/>
          <w:szCs w:val="20"/>
        </w:rPr>
      </w:pPr>
    </w:p>
    <w:p w14:paraId="266447FE" w14:textId="0BEC46C3" w:rsidR="00FF690F" w:rsidRPr="00FF690F" w:rsidRDefault="00FF690F" w:rsidP="00226905">
      <w:pPr>
        <w:pStyle w:val="references"/>
        <w:numPr>
          <w:ilvl w:val="0"/>
          <w:numId w:val="0"/>
        </w:numPr>
        <w:ind w:start="18pt"/>
        <w:rPr>
          <w:sz w:val="20"/>
          <w:szCs w:val="20"/>
        </w:rPr>
      </w:pPr>
      <w:r w:rsidRPr="00FF690F">
        <w:rPr>
          <w:sz w:val="20"/>
          <w:szCs w:val="20"/>
        </w:rPr>
        <w:t xml:space="preserve">[2] </w:t>
      </w:r>
      <w:r w:rsidRPr="00FF690F">
        <w:rPr>
          <w:rStyle w:val="whitespace-normal"/>
          <w:sz w:val="20"/>
          <w:szCs w:val="20"/>
        </w:rPr>
        <w:t>Sir David Cox</w:t>
      </w:r>
      <w:r w:rsidRPr="00FF690F">
        <w:rPr>
          <w:sz w:val="20"/>
          <w:szCs w:val="20"/>
        </w:rPr>
        <w:t xml:space="preserve">, “Regression Models and Life-Tables,” </w:t>
      </w:r>
      <w:r w:rsidRPr="00FF690F">
        <w:rPr>
          <w:rStyle w:val="Emphasis"/>
          <w:sz w:val="20"/>
          <w:szCs w:val="20"/>
        </w:rPr>
        <w:t>Journal of the Royal Statistical Society</w:t>
      </w:r>
      <w:r w:rsidRPr="00FF690F">
        <w:rPr>
          <w:sz w:val="20"/>
          <w:szCs w:val="20"/>
        </w:rPr>
        <w:t>, vol. 34, no. 2, pp. 187–220, 1972.</w:t>
      </w:r>
    </w:p>
    <w:p w14:paraId="02635E24" w14:textId="391F4081" w:rsidR="00FF690F" w:rsidRPr="00FF690F" w:rsidRDefault="00FF690F" w:rsidP="00226905">
      <w:pPr>
        <w:pStyle w:val="references"/>
        <w:numPr>
          <w:ilvl w:val="0"/>
          <w:numId w:val="0"/>
        </w:numPr>
        <w:ind w:start="18pt"/>
        <w:rPr>
          <w:sz w:val="20"/>
          <w:szCs w:val="20"/>
        </w:rPr>
      </w:pPr>
    </w:p>
    <w:p w14:paraId="7EFA5BE5" w14:textId="60355697" w:rsidR="00FF690F" w:rsidRPr="00FF690F" w:rsidRDefault="00FF690F" w:rsidP="00226905">
      <w:pPr>
        <w:pStyle w:val="references"/>
        <w:numPr>
          <w:ilvl w:val="0"/>
          <w:numId w:val="0"/>
        </w:numPr>
        <w:ind w:start="18pt"/>
        <w:rPr>
          <w:sz w:val="20"/>
          <w:szCs w:val="20"/>
        </w:rPr>
      </w:pPr>
      <w:r w:rsidRPr="00FF690F">
        <w:rPr>
          <w:sz w:val="20"/>
          <w:szCs w:val="20"/>
        </w:rPr>
        <w:t xml:space="preserve">[3] </w:t>
      </w:r>
      <w:r w:rsidRPr="00FF690F">
        <w:rPr>
          <w:rStyle w:val="whitespace-normal"/>
          <w:sz w:val="20"/>
          <w:szCs w:val="20"/>
        </w:rPr>
        <w:t>Jared Katzman</w:t>
      </w:r>
      <w:r w:rsidRPr="00FF690F">
        <w:rPr>
          <w:sz w:val="20"/>
          <w:szCs w:val="20"/>
        </w:rPr>
        <w:t xml:space="preserve"> et al., “DeepSurv: Personalized Treatment Recommender System Using a Cox Proportional Hazards Deep Neural Network,” </w:t>
      </w:r>
      <w:r w:rsidRPr="00FF690F">
        <w:rPr>
          <w:rStyle w:val="Emphasis"/>
          <w:sz w:val="20"/>
          <w:szCs w:val="20"/>
        </w:rPr>
        <w:t>BMC Medical Research Methodology</w:t>
      </w:r>
      <w:r w:rsidRPr="00FF690F">
        <w:rPr>
          <w:sz w:val="20"/>
          <w:szCs w:val="20"/>
        </w:rPr>
        <w:t>, 2018.</w:t>
      </w:r>
    </w:p>
    <w:p w14:paraId="7947DB3C" w14:textId="54B27AB7" w:rsidR="00FF690F" w:rsidRPr="00FF690F" w:rsidRDefault="00FF690F" w:rsidP="00226905">
      <w:pPr>
        <w:pStyle w:val="references"/>
        <w:numPr>
          <w:ilvl w:val="0"/>
          <w:numId w:val="0"/>
        </w:numPr>
        <w:ind w:start="18pt"/>
        <w:rPr>
          <w:sz w:val="20"/>
          <w:szCs w:val="20"/>
        </w:rPr>
      </w:pPr>
    </w:p>
    <w:p w14:paraId="5E1AAA4D" w14:textId="4A2F7FAD" w:rsidR="00FF690F" w:rsidRPr="00FF690F" w:rsidRDefault="00FF690F" w:rsidP="00226905">
      <w:pPr>
        <w:pStyle w:val="references"/>
        <w:numPr>
          <w:ilvl w:val="0"/>
          <w:numId w:val="0"/>
        </w:numPr>
        <w:ind w:start="18pt"/>
        <w:rPr>
          <w:sz w:val="20"/>
          <w:szCs w:val="20"/>
        </w:rPr>
      </w:pPr>
      <w:r w:rsidRPr="00FF690F">
        <w:rPr>
          <w:sz w:val="20"/>
          <w:szCs w:val="20"/>
        </w:rPr>
        <w:t xml:space="preserve">[4] </w:t>
      </w:r>
      <w:r w:rsidRPr="00FF690F">
        <w:rPr>
          <w:rStyle w:val="whitespace-normal"/>
          <w:sz w:val="20"/>
          <w:szCs w:val="20"/>
        </w:rPr>
        <w:t>Michael Luck</w:t>
      </w:r>
      <w:r w:rsidRPr="00FF690F">
        <w:rPr>
          <w:sz w:val="20"/>
          <w:szCs w:val="20"/>
        </w:rPr>
        <w:t xml:space="preserve"> et al., “Deep Learning for Survival Analysis: A Review,” </w:t>
      </w:r>
      <w:r w:rsidRPr="00FF690F">
        <w:rPr>
          <w:rStyle w:val="Emphasis"/>
          <w:sz w:val="20"/>
          <w:szCs w:val="20"/>
        </w:rPr>
        <w:t>Artificial Intelligence in Medicine</w:t>
      </w:r>
      <w:r w:rsidRPr="00FF690F">
        <w:rPr>
          <w:sz w:val="20"/>
          <w:szCs w:val="20"/>
        </w:rPr>
        <w:t>, 2017.</w:t>
      </w:r>
    </w:p>
    <w:p w14:paraId="1B41EE2F" w14:textId="4B5B4ED9" w:rsidR="00FF690F" w:rsidRPr="00FF690F" w:rsidRDefault="00FF690F" w:rsidP="00226905">
      <w:pPr>
        <w:pStyle w:val="references"/>
        <w:numPr>
          <w:ilvl w:val="0"/>
          <w:numId w:val="0"/>
        </w:numPr>
        <w:ind w:start="18pt"/>
        <w:rPr>
          <w:sz w:val="20"/>
          <w:szCs w:val="20"/>
        </w:rPr>
      </w:pPr>
    </w:p>
    <w:p w14:paraId="40A327FC" w14:textId="7F9243E3" w:rsidR="00FF690F" w:rsidRDefault="00FF690F" w:rsidP="00FF690F">
      <w:pPr>
        <w:pStyle w:val="references"/>
        <w:numPr>
          <w:ilvl w:val="0"/>
          <w:numId w:val="0"/>
        </w:numPr>
        <w:ind w:start="18pt"/>
        <w:rPr>
          <w:sz w:val="20"/>
          <w:szCs w:val="20"/>
        </w:rPr>
      </w:pPr>
      <w:r w:rsidRPr="00FF690F">
        <w:rPr>
          <w:sz w:val="20"/>
          <w:szCs w:val="20"/>
        </w:rPr>
        <w:t xml:space="preserve">[5] </w:t>
      </w:r>
      <w:r w:rsidRPr="00FF690F">
        <w:rPr>
          <w:rStyle w:val="whitespace-normal"/>
          <w:sz w:val="20"/>
          <w:szCs w:val="20"/>
        </w:rPr>
        <w:t>Håvard Kvamme</w:t>
      </w:r>
      <w:r w:rsidRPr="00FF690F">
        <w:rPr>
          <w:sz w:val="20"/>
          <w:szCs w:val="20"/>
        </w:rPr>
        <w:t xml:space="preserve"> et al., “Time-to-Event Prediction with Neural Networks and Cox Regression,” </w:t>
      </w:r>
      <w:r w:rsidRPr="00FF690F">
        <w:rPr>
          <w:rStyle w:val="Emphasis"/>
          <w:sz w:val="20"/>
          <w:szCs w:val="20"/>
        </w:rPr>
        <w:t>Journal of Machine Learning Research</w:t>
      </w:r>
      <w:r w:rsidRPr="00FF690F">
        <w:rPr>
          <w:sz w:val="20"/>
          <w:szCs w:val="20"/>
        </w:rPr>
        <w:t>, 2019.</w:t>
      </w:r>
    </w:p>
    <w:p w14:paraId="294350B1" w14:textId="77777777" w:rsidR="007564AF" w:rsidRPr="00FF690F" w:rsidRDefault="007564AF" w:rsidP="00FF690F">
      <w:pPr>
        <w:pStyle w:val="references"/>
        <w:numPr>
          <w:ilvl w:val="0"/>
          <w:numId w:val="0"/>
        </w:numPr>
        <w:ind w:start="18pt"/>
        <w:rPr>
          <w:sz w:val="20"/>
          <w:szCs w:val="20"/>
        </w:rPr>
      </w:pPr>
    </w:p>
    <w:p w14:paraId="3FF18F0B" w14:textId="6AB67849" w:rsidR="00FF690F" w:rsidRDefault="00FF690F" w:rsidP="00FF690F">
      <w:pPr>
        <w:pStyle w:val="references"/>
        <w:numPr>
          <w:ilvl w:val="0"/>
          <w:numId w:val="0"/>
        </w:numPr>
        <w:ind w:start="18pt"/>
        <w:rPr>
          <w:sz w:val="20"/>
          <w:szCs w:val="20"/>
        </w:rPr>
      </w:pPr>
      <w:r w:rsidRPr="00FF690F">
        <w:rPr>
          <w:sz w:val="20"/>
          <w:szCs w:val="20"/>
        </w:rPr>
        <w:t xml:space="preserve">[6] </w:t>
      </w:r>
      <w:r w:rsidRPr="00FF690F">
        <w:rPr>
          <w:rStyle w:val="whitespace-normal"/>
          <w:sz w:val="20"/>
          <w:szCs w:val="20"/>
        </w:rPr>
        <w:t>Concordance Index</w:t>
      </w:r>
      <w:r w:rsidRPr="00FF690F">
        <w:rPr>
          <w:sz w:val="20"/>
          <w:szCs w:val="20"/>
        </w:rPr>
        <w:t xml:space="preserve"> and </w:t>
      </w:r>
      <w:r w:rsidRPr="00FF690F">
        <w:rPr>
          <w:rStyle w:val="whitespace-normal"/>
          <w:sz w:val="20"/>
          <w:szCs w:val="20"/>
        </w:rPr>
        <w:t>Brier Score</w:t>
      </w:r>
      <w:r w:rsidRPr="00FF690F">
        <w:rPr>
          <w:sz w:val="20"/>
          <w:szCs w:val="20"/>
        </w:rPr>
        <w:t>, standard evaluation metrics in survival analysis literature.</w:t>
      </w:r>
    </w:p>
    <w:p w14:paraId="753170BE" w14:textId="77777777" w:rsidR="007564AF" w:rsidRDefault="007564AF" w:rsidP="00FF690F">
      <w:pPr>
        <w:pStyle w:val="references"/>
        <w:numPr>
          <w:ilvl w:val="0"/>
          <w:numId w:val="0"/>
        </w:numPr>
        <w:ind w:start="18pt"/>
        <w:rPr>
          <w:sz w:val="20"/>
          <w:szCs w:val="20"/>
        </w:rPr>
      </w:pPr>
    </w:p>
    <w:p w14:paraId="16B27BF6" w14:textId="3558DC1F" w:rsidR="007564AF" w:rsidRPr="007564AF" w:rsidRDefault="007564AF" w:rsidP="00FF690F">
      <w:pPr>
        <w:pStyle w:val="references"/>
        <w:numPr>
          <w:ilvl w:val="0"/>
          <w:numId w:val="0"/>
        </w:numPr>
        <w:ind w:start="18pt"/>
        <w:rPr>
          <w:sz w:val="20"/>
          <w:szCs w:val="20"/>
        </w:rPr>
      </w:pPr>
      <w:r w:rsidRPr="007564AF">
        <w:rPr>
          <w:sz w:val="20"/>
          <w:szCs w:val="20"/>
        </w:rPr>
        <w:t xml:space="preserve">[7] </w:t>
      </w:r>
      <w:r w:rsidRPr="007564AF">
        <w:rPr>
          <w:rStyle w:val="whitespace-normal"/>
          <w:sz w:val="20"/>
          <w:szCs w:val="20"/>
        </w:rPr>
        <w:t>Sir David Cox</w:t>
      </w:r>
      <w:r w:rsidRPr="007564AF">
        <w:rPr>
          <w:sz w:val="20"/>
          <w:szCs w:val="20"/>
        </w:rPr>
        <w:t xml:space="preserve">, “Regression Models and Life-Tables,” </w:t>
      </w:r>
      <w:r w:rsidRPr="007564AF">
        <w:rPr>
          <w:rStyle w:val="Emphasis"/>
          <w:sz w:val="20"/>
          <w:szCs w:val="20"/>
        </w:rPr>
        <w:t>Journal of the Royal Statistical Society</w:t>
      </w:r>
      <w:r w:rsidRPr="007564AF">
        <w:rPr>
          <w:sz w:val="20"/>
          <w:szCs w:val="20"/>
        </w:rPr>
        <w:t>, 1972.</w:t>
      </w:r>
    </w:p>
    <w:p w14:paraId="32AC1E44" w14:textId="1011EE13" w:rsidR="007564AF" w:rsidRPr="007564AF" w:rsidRDefault="007564AF" w:rsidP="00FF690F">
      <w:pPr>
        <w:pStyle w:val="references"/>
        <w:numPr>
          <w:ilvl w:val="0"/>
          <w:numId w:val="0"/>
        </w:numPr>
        <w:ind w:start="18pt"/>
        <w:rPr>
          <w:sz w:val="20"/>
          <w:szCs w:val="20"/>
        </w:rPr>
      </w:pPr>
    </w:p>
    <w:p w14:paraId="1AE6FA70" w14:textId="1B2B9D5B" w:rsidR="007564AF" w:rsidRPr="007564AF" w:rsidRDefault="007564AF" w:rsidP="00FF690F">
      <w:pPr>
        <w:pStyle w:val="references"/>
        <w:numPr>
          <w:ilvl w:val="0"/>
          <w:numId w:val="0"/>
        </w:numPr>
        <w:ind w:start="18pt"/>
        <w:rPr>
          <w:sz w:val="20"/>
          <w:szCs w:val="20"/>
        </w:rPr>
      </w:pPr>
      <w:r w:rsidRPr="007564AF">
        <w:rPr>
          <w:sz w:val="20"/>
          <w:szCs w:val="20"/>
        </w:rPr>
        <w:t xml:space="preserve">[8] Tibshirani, R., “The Lasso Method for Variable Selection in the Cox Model,” </w:t>
      </w:r>
      <w:r w:rsidRPr="007564AF">
        <w:rPr>
          <w:rStyle w:val="Emphasis"/>
          <w:sz w:val="20"/>
          <w:szCs w:val="20"/>
        </w:rPr>
        <w:t>Statistics in Medicine</w:t>
      </w:r>
      <w:r w:rsidRPr="007564AF">
        <w:rPr>
          <w:sz w:val="20"/>
          <w:szCs w:val="20"/>
        </w:rPr>
        <w:t>, 1997.</w:t>
      </w:r>
    </w:p>
    <w:p w14:paraId="23DD432B" w14:textId="7A667F9D" w:rsidR="007564AF" w:rsidRPr="007564AF" w:rsidRDefault="007564AF" w:rsidP="00FF690F">
      <w:pPr>
        <w:pStyle w:val="references"/>
        <w:numPr>
          <w:ilvl w:val="0"/>
          <w:numId w:val="0"/>
        </w:numPr>
        <w:ind w:start="18pt"/>
        <w:rPr>
          <w:sz w:val="20"/>
          <w:szCs w:val="20"/>
        </w:rPr>
      </w:pPr>
    </w:p>
    <w:p w14:paraId="493AB6AD" w14:textId="18949ACB" w:rsidR="007564AF" w:rsidRPr="007564AF" w:rsidRDefault="007564AF" w:rsidP="00FF690F">
      <w:pPr>
        <w:pStyle w:val="references"/>
        <w:numPr>
          <w:ilvl w:val="0"/>
          <w:numId w:val="0"/>
        </w:numPr>
        <w:ind w:start="18pt"/>
        <w:rPr>
          <w:sz w:val="20"/>
          <w:szCs w:val="20"/>
        </w:rPr>
      </w:pPr>
      <w:r w:rsidRPr="007564AF">
        <w:rPr>
          <w:sz w:val="20"/>
          <w:szCs w:val="20"/>
        </w:rPr>
        <w:t xml:space="preserve">[9] </w:t>
      </w:r>
      <w:r w:rsidRPr="007564AF">
        <w:rPr>
          <w:rStyle w:val="whitespace-normal"/>
          <w:sz w:val="20"/>
          <w:szCs w:val="20"/>
        </w:rPr>
        <w:t>Hemant Ishwaran</w:t>
      </w:r>
      <w:r w:rsidRPr="007564AF">
        <w:rPr>
          <w:sz w:val="20"/>
          <w:szCs w:val="20"/>
        </w:rPr>
        <w:t xml:space="preserve"> et al., “Random Survival Forests,” </w:t>
      </w:r>
      <w:r w:rsidRPr="007564AF">
        <w:rPr>
          <w:rStyle w:val="Emphasis"/>
          <w:sz w:val="20"/>
          <w:szCs w:val="20"/>
        </w:rPr>
        <w:t>Annals of Applied Statistics</w:t>
      </w:r>
      <w:r w:rsidRPr="007564AF">
        <w:rPr>
          <w:sz w:val="20"/>
          <w:szCs w:val="20"/>
        </w:rPr>
        <w:t>, 2008.</w:t>
      </w:r>
    </w:p>
    <w:p w14:paraId="34667962" w14:textId="5A4B6B38" w:rsidR="007564AF" w:rsidRPr="007564AF" w:rsidRDefault="007564AF" w:rsidP="00FF690F">
      <w:pPr>
        <w:pStyle w:val="references"/>
        <w:numPr>
          <w:ilvl w:val="0"/>
          <w:numId w:val="0"/>
        </w:numPr>
        <w:ind w:start="18pt"/>
        <w:rPr>
          <w:sz w:val="20"/>
          <w:szCs w:val="20"/>
        </w:rPr>
      </w:pPr>
    </w:p>
    <w:p w14:paraId="1A5D37E6" w14:textId="3AF54B35" w:rsidR="007564AF" w:rsidRPr="007564AF" w:rsidRDefault="007564AF" w:rsidP="00FF690F">
      <w:pPr>
        <w:pStyle w:val="references"/>
        <w:numPr>
          <w:ilvl w:val="0"/>
          <w:numId w:val="0"/>
        </w:numPr>
        <w:ind w:start="18pt"/>
        <w:rPr>
          <w:sz w:val="20"/>
          <w:szCs w:val="20"/>
        </w:rPr>
      </w:pPr>
      <w:r w:rsidRPr="007564AF">
        <w:rPr>
          <w:sz w:val="20"/>
          <w:szCs w:val="20"/>
        </w:rPr>
        <w:t xml:space="preserve">[10] Van Belle, V. et al., “Support Vector Methods for Survival Analysis,” </w:t>
      </w:r>
      <w:r w:rsidRPr="007564AF">
        <w:rPr>
          <w:rStyle w:val="Emphasis"/>
          <w:sz w:val="20"/>
          <w:szCs w:val="20"/>
        </w:rPr>
        <w:t>Machine Learning</w:t>
      </w:r>
      <w:r w:rsidRPr="007564AF">
        <w:rPr>
          <w:sz w:val="20"/>
          <w:szCs w:val="20"/>
        </w:rPr>
        <w:t>, 2011.</w:t>
      </w:r>
    </w:p>
    <w:p w14:paraId="1C372095" w14:textId="09E9AF8D" w:rsidR="007564AF" w:rsidRPr="007564AF" w:rsidRDefault="007564AF" w:rsidP="00FF690F">
      <w:pPr>
        <w:pStyle w:val="references"/>
        <w:numPr>
          <w:ilvl w:val="0"/>
          <w:numId w:val="0"/>
        </w:numPr>
        <w:ind w:start="18pt"/>
        <w:rPr>
          <w:sz w:val="20"/>
          <w:szCs w:val="20"/>
        </w:rPr>
      </w:pPr>
    </w:p>
    <w:p w14:paraId="65006945" w14:textId="36CB3C1E" w:rsidR="007564AF" w:rsidRPr="007564AF" w:rsidRDefault="007564AF" w:rsidP="00FF690F">
      <w:pPr>
        <w:pStyle w:val="references"/>
        <w:numPr>
          <w:ilvl w:val="0"/>
          <w:numId w:val="0"/>
        </w:numPr>
        <w:ind w:start="18pt"/>
        <w:rPr>
          <w:sz w:val="20"/>
          <w:szCs w:val="20"/>
        </w:rPr>
      </w:pPr>
      <w:r w:rsidRPr="007564AF">
        <w:rPr>
          <w:sz w:val="20"/>
          <w:szCs w:val="20"/>
        </w:rPr>
        <w:t xml:space="preserve">[11] </w:t>
      </w:r>
      <w:r w:rsidRPr="007564AF">
        <w:rPr>
          <w:rStyle w:val="whitespace-normal"/>
          <w:sz w:val="20"/>
          <w:szCs w:val="20"/>
        </w:rPr>
        <w:t>Jared Katzman</w:t>
      </w:r>
      <w:r w:rsidRPr="007564AF">
        <w:rPr>
          <w:sz w:val="20"/>
          <w:szCs w:val="20"/>
        </w:rPr>
        <w:t xml:space="preserve"> et al., “DeepSurv: Personalized Treatment Recommender System Using a Cox Proportional Hazards Deep Neural Network,” </w:t>
      </w:r>
      <w:r w:rsidRPr="007564AF">
        <w:rPr>
          <w:rStyle w:val="Emphasis"/>
          <w:sz w:val="20"/>
          <w:szCs w:val="20"/>
        </w:rPr>
        <w:t>BMC Medical Research Methodology</w:t>
      </w:r>
      <w:r w:rsidRPr="007564AF">
        <w:rPr>
          <w:sz w:val="20"/>
          <w:szCs w:val="20"/>
        </w:rPr>
        <w:t>, 2018.</w:t>
      </w:r>
    </w:p>
    <w:p w14:paraId="2D021202" w14:textId="4379B43D" w:rsidR="007564AF" w:rsidRPr="007564AF" w:rsidRDefault="007564AF" w:rsidP="00FF690F">
      <w:pPr>
        <w:pStyle w:val="references"/>
        <w:numPr>
          <w:ilvl w:val="0"/>
          <w:numId w:val="0"/>
        </w:numPr>
        <w:ind w:start="18pt"/>
        <w:rPr>
          <w:sz w:val="20"/>
          <w:szCs w:val="20"/>
        </w:rPr>
      </w:pPr>
    </w:p>
    <w:p w14:paraId="2F045603" w14:textId="24B697FA" w:rsidR="007564AF" w:rsidRPr="007564AF" w:rsidRDefault="007564AF" w:rsidP="00FF690F">
      <w:pPr>
        <w:pStyle w:val="references"/>
        <w:numPr>
          <w:ilvl w:val="0"/>
          <w:numId w:val="0"/>
        </w:numPr>
        <w:ind w:start="18pt"/>
        <w:rPr>
          <w:sz w:val="20"/>
          <w:szCs w:val="20"/>
        </w:rPr>
      </w:pPr>
      <w:r w:rsidRPr="007564AF">
        <w:rPr>
          <w:sz w:val="20"/>
          <w:szCs w:val="20"/>
        </w:rPr>
        <w:t xml:space="preserve">[12] </w:t>
      </w:r>
      <w:r w:rsidRPr="007564AF">
        <w:rPr>
          <w:rStyle w:val="whitespace-normal"/>
          <w:sz w:val="20"/>
          <w:szCs w:val="20"/>
        </w:rPr>
        <w:t>Håvard Kvamme</w:t>
      </w:r>
      <w:r w:rsidRPr="007564AF">
        <w:rPr>
          <w:sz w:val="20"/>
          <w:szCs w:val="20"/>
        </w:rPr>
        <w:t xml:space="preserve"> et al., “Time-to-Event Prediction with Neural Networks and Cox Regression,” </w:t>
      </w:r>
      <w:r w:rsidRPr="007564AF">
        <w:rPr>
          <w:rStyle w:val="Emphasis"/>
          <w:sz w:val="20"/>
          <w:szCs w:val="20"/>
        </w:rPr>
        <w:t>Journal of Machine Learning Research</w:t>
      </w:r>
      <w:r w:rsidRPr="007564AF">
        <w:rPr>
          <w:sz w:val="20"/>
          <w:szCs w:val="20"/>
        </w:rPr>
        <w:t>, 2019.</w:t>
      </w:r>
    </w:p>
    <w:p w14:paraId="7858CC7F" w14:textId="01AA2C10" w:rsidR="007564AF" w:rsidRPr="007564AF" w:rsidRDefault="007564AF" w:rsidP="00FF690F">
      <w:pPr>
        <w:pStyle w:val="references"/>
        <w:numPr>
          <w:ilvl w:val="0"/>
          <w:numId w:val="0"/>
        </w:numPr>
        <w:ind w:start="18pt"/>
        <w:rPr>
          <w:sz w:val="20"/>
          <w:szCs w:val="20"/>
        </w:rPr>
      </w:pPr>
    </w:p>
    <w:p w14:paraId="7869021A" w14:textId="5C0D7C0D" w:rsidR="007564AF" w:rsidRDefault="007564AF" w:rsidP="00FF690F">
      <w:pPr>
        <w:pStyle w:val="references"/>
        <w:numPr>
          <w:ilvl w:val="0"/>
          <w:numId w:val="0"/>
        </w:numPr>
        <w:ind w:start="18pt"/>
        <w:rPr>
          <w:sz w:val="20"/>
          <w:szCs w:val="20"/>
        </w:rPr>
      </w:pPr>
      <w:r w:rsidRPr="007564AF">
        <w:rPr>
          <w:sz w:val="20"/>
          <w:szCs w:val="20"/>
        </w:rPr>
        <w:lastRenderedPageBreak/>
        <w:t xml:space="preserve">[13] Graf, E. et al., “Assessment and Comparison of Prognostic Classification Schemes for Survival Data,” </w:t>
      </w:r>
      <w:r w:rsidRPr="007564AF">
        <w:rPr>
          <w:rStyle w:val="Emphasis"/>
          <w:sz w:val="20"/>
          <w:szCs w:val="20"/>
        </w:rPr>
        <w:t>Statistics in Medicine</w:t>
      </w:r>
      <w:r w:rsidRPr="007564AF">
        <w:rPr>
          <w:sz w:val="20"/>
          <w:szCs w:val="20"/>
        </w:rPr>
        <w:t>, 1999.</w:t>
      </w:r>
    </w:p>
    <w:p w14:paraId="0C5CE3A8" w14:textId="62964AD8" w:rsidR="00766AC0" w:rsidRDefault="00766AC0" w:rsidP="00FF690F">
      <w:pPr>
        <w:pStyle w:val="references"/>
        <w:numPr>
          <w:ilvl w:val="0"/>
          <w:numId w:val="0"/>
        </w:numPr>
        <w:ind w:start="18pt"/>
        <w:rPr>
          <w:sz w:val="20"/>
          <w:szCs w:val="20"/>
        </w:rPr>
      </w:pPr>
    </w:p>
    <w:p w14:paraId="3AC21DC1" w14:textId="30A8E3BA" w:rsidR="00766AC0" w:rsidRPr="00543B7A" w:rsidRDefault="00766AC0" w:rsidP="00FF690F">
      <w:pPr>
        <w:pStyle w:val="references"/>
        <w:numPr>
          <w:ilvl w:val="0"/>
          <w:numId w:val="0"/>
        </w:numPr>
        <w:ind w:start="18pt"/>
        <w:rPr>
          <w:sz w:val="20"/>
          <w:szCs w:val="20"/>
        </w:rPr>
      </w:pPr>
      <w:r w:rsidRPr="00543B7A">
        <w:rPr>
          <w:sz w:val="20"/>
          <w:szCs w:val="20"/>
        </w:rPr>
        <w:t xml:space="preserve">[14] </w:t>
      </w:r>
      <w:r w:rsidRPr="00543B7A">
        <w:rPr>
          <w:rStyle w:val="whitespace-normal"/>
          <w:sz w:val="20"/>
          <w:szCs w:val="20"/>
        </w:rPr>
        <w:t>Leo Breiman</w:t>
      </w:r>
      <w:r w:rsidRPr="00543B7A">
        <w:rPr>
          <w:sz w:val="20"/>
          <w:szCs w:val="20"/>
        </w:rPr>
        <w:t xml:space="preserve">, “Random Forests,” </w:t>
      </w:r>
      <w:r w:rsidRPr="00543B7A">
        <w:rPr>
          <w:rStyle w:val="Emphasis"/>
          <w:sz w:val="20"/>
          <w:szCs w:val="20"/>
        </w:rPr>
        <w:t>Machine Learning</w:t>
      </w:r>
      <w:r w:rsidRPr="00543B7A">
        <w:rPr>
          <w:sz w:val="20"/>
          <w:szCs w:val="20"/>
        </w:rPr>
        <w:t>, vol. 45, no. 1, pp. 5–32, 2001.</w:t>
      </w:r>
    </w:p>
    <w:p w14:paraId="3F7842CF" w14:textId="03A7D31F" w:rsidR="00766AC0" w:rsidRPr="00543B7A" w:rsidRDefault="00766AC0" w:rsidP="00FF690F">
      <w:pPr>
        <w:pStyle w:val="references"/>
        <w:numPr>
          <w:ilvl w:val="0"/>
          <w:numId w:val="0"/>
        </w:numPr>
        <w:ind w:start="18pt"/>
        <w:rPr>
          <w:sz w:val="20"/>
          <w:szCs w:val="20"/>
        </w:rPr>
      </w:pPr>
    </w:p>
    <w:p w14:paraId="585B1085" w14:textId="25148032" w:rsidR="00766AC0" w:rsidRPr="00543B7A" w:rsidRDefault="00766AC0" w:rsidP="00FF690F">
      <w:pPr>
        <w:pStyle w:val="references"/>
        <w:numPr>
          <w:ilvl w:val="0"/>
          <w:numId w:val="0"/>
        </w:numPr>
        <w:ind w:start="18pt"/>
        <w:rPr>
          <w:sz w:val="20"/>
          <w:szCs w:val="20"/>
        </w:rPr>
      </w:pPr>
      <w:r w:rsidRPr="00543B7A">
        <w:rPr>
          <w:sz w:val="20"/>
          <w:szCs w:val="20"/>
        </w:rPr>
        <w:t xml:space="preserve">[15] </w:t>
      </w:r>
      <w:r w:rsidRPr="00543B7A">
        <w:rPr>
          <w:rStyle w:val="whitespace-normal"/>
          <w:sz w:val="20"/>
          <w:szCs w:val="20"/>
        </w:rPr>
        <w:t>Jerome Friedman</w:t>
      </w:r>
      <w:r w:rsidRPr="00543B7A">
        <w:rPr>
          <w:sz w:val="20"/>
          <w:szCs w:val="20"/>
        </w:rPr>
        <w:t xml:space="preserve">, “Greedy Function Approximation: A Gradient Boosting Machine,” </w:t>
      </w:r>
      <w:r w:rsidRPr="00543B7A">
        <w:rPr>
          <w:rStyle w:val="Emphasis"/>
          <w:sz w:val="20"/>
          <w:szCs w:val="20"/>
        </w:rPr>
        <w:t>Annals of Statistics</w:t>
      </w:r>
      <w:r w:rsidRPr="00543B7A">
        <w:rPr>
          <w:sz w:val="20"/>
          <w:szCs w:val="20"/>
        </w:rPr>
        <w:t>, vol. 29, no. 5, pp. 1189–1232, 2001.</w:t>
      </w:r>
    </w:p>
    <w:p w14:paraId="1A975688" w14:textId="3ADF579A" w:rsidR="00766AC0" w:rsidRPr="00543B7A" w:rsidRDefault="00766AC0" w:rsidP="00FF690F">
      <w:pPr>
        <w:pStyle w:val="references"/>
        <w:numPr>
          <w:ilvl w:val="0"/>
          <w:numId w:val="0"/>
        </w:numPr>
        <w:ind w:start="18pt"/>
        <w:rPr>
          <w:sz w:val="20"/>
          <w:szCs w:val="20"/>
        </w:rPr>
      </w:pPr>
    </w:p>
    <w:p w14:paraId="253091A1" w14:textId="051E1A89" w:rsidR="00766AC0" w:rsidRPr="00543B7A" w:rsidRDefault="00766AC0" w:rsidP="00FF690F">
      <w:pPr>
        <w:pStyle w:val="references"/>
        <w:numPr>
          <w:ilvl w:val="0"/>
          <w:numId w:val="0"/>
        </w:numPr>
        <w:ind w:start="18pt"/>
        <w:rPr>
          <w:sz w:val="20"/>
          <w:szCs w:val="20"/>
        </w:rPr>
      </w:pPr>
      <w:r w:rsidRPr="00543B7A">
        <w:rPr>
          <w:sz w:val="20"/>
          <w:szCs w:val="20"/>
        </w:rPr>
        <w:t xml:space="preserve">[16] </w:t>
      </w:r>
      <w:r w:rsidRPr="00543B7A">
        <w:rPr>
          <w:rStyle w:val="whitespace-normal"/>
          <w:sz w:val="20"/>
          <w:szCs w:val="20"/>
        </w:rPr>
        <w:t>Tianqi Chen</w:t>
      </w:r>
      <w:r w:rsidRPr="00543B7A">
        <w:rPr>
          <w:sz w:val="20"/>
          <w:szCs w:val="20"/>
        </w:rPr>
        <w:t xml:space="preserve"> and </w:t>
      </w:r>
      <w:r w:rsidRPr="00543B7A">
        <w:rPr>
          <w:rStyle w:val="whitespace-normal"/>
          <w:sz w:val="20"/>
          <w:szCs w:val="20"/>
        </w:rPr>
        <w:t>Carlos Guestrin</w:t>
      </w:r>
      <w:r w:rsidRPr="00543B7A">
        <w:rPr>
          <w:sz w:val="20"/>
          <w:szCs w:val="20"/>
        </w:rPr>
        <w:t xml:space="preserve">, “XGBoost: A Scalable Tree Boosting System,” </w:t>
      </w:r>
      <w:r w:rsidRPr="00543B7A">
        <w:rPr>
          <w:rStyle w:val="Emphasis"/>
          <w:sz w:val="20"/>
          <w:szCs w:val="20"/>
        </w:rPr>
        <w:t>KDD Conference</w:t>
      </w:r>
      <w:r w:rsidRPr="00543B7A">
        <w:rPr>
          <w:sz w:val="20"/>
          <w:szCs w:val="20"/>
        </w:rPr>
        <w:t>, 2016.</w:t>
      </w:r>
    </w:p>
    <w:p w14:paraId="67BBB6EB" w14:textId="27653701" w:rsidR="00766AC0" w:rsidRPr="00543B7A" w:rsidRDefault="00766AC0" w:rsidP="00FF690F">
      <w:pPr>
        <w:pStyle w:val="references"/>
        <w:numPr>
          <w:ilvl w:val="0"/>
          <w:numId w:val="0"/>
        </w:numPr>
        <w:ind w:start="18pt"/>
        <w:rPr>
          <w:sz w:val="20"/>
          <w:szCs w:val="20"/>
        </w:rPr>
      </w:pPr>
    </w:p>
    <w:p w14:paraId="70FBEED6" w14:textId="5BBDD8BE" w:rsidR="00766AC0" w:rsidRPr="00543B7A" w:rsidRDefault="00766AC0" w:rsidP="00FF690F">
      <w:pPr>
        <w:pStyle w:val="references"/>
        <w:numPr>
          <w:ilvl w:val="0"/>
          <w:numId w:val="0"/>
        </w:numPr>
        <w:ind w:start="18pt"/>
        <w:rPr>
          <w:sz w:val="20"/>
          <w:szCs w:val="20"/>
        </w:rPr>
      </w:pPr>
      <w:r w:rsidRPr="00543B7A">
        <w:rPr>
          <w:sz w:val="20"/>
          <w:szCs w:val="20"/>
        </w:rPr>
        <w:t xml:space="preserve">[17] </w:t>
      </w:r>
      <w:r w:rsidRPr="00543B7A">
        <w:rPr>
          <w:rStyle w:val="whitespace-normal"/>
          <w:sz w:val="20"/>
          <w:szCs w:val="20"/>
        </w:rPr>
        <w:t>Sepp Hochreiter</w:t>
      </w:r>
      <w:r w:rsidRPr="00543B7A">
        <w:rPr>
          <w:sz w:val="20"/>
          <w:szCs w:val="20"/>
        </w:rPr>
        <w:t xml:space="preserve"> and </w:t>
      </w:r>
      <w:r w:rsidRPr="00543B7A">
        <w:rPr>
          <w:rStyle w:val="whitespace-normal"/>
          <w:sz w:val="20"/>
          <w:szCs w:val="20"/>
        </w:rPr>
        <w:t>Jürgen Schmidhuber</w:t>
      </w:r>
      <w:r w:rsidRPr="00543B7A">
        <w:rPr>
          <w:sz w:val="20"/>
          <w:szCs w:val="20"/>
        </w:rPr>
        <w:t xml:space="preserve">, “Long Short-Term Memory,” </w:t>
      </w:r>
      <w:r w:rsidRPr="00543B7A">
        <w:rPr>
          <w:rStyle w:val="Emphasis"/>
          <w:sz w:val="20"/>
          <w:szCs w:val="20"/>
        </w:rPr>
        <w:t>Neural Computation</w:t>
      </w:r>
      <w:r w:rsidRPr="00543B7A">
        <w:rPr>
          <w:sz w:val="20"/>
          <w:szCs w:val="20"/>
        </w:rPr>
        <w:t>, 1997.</w:t>
      </w:r>
    </w:p>
    <w:p w14:paraId="6AEFBF8B" w14:textId="0A9436F4" w:rsidR="00766AC0" w:rsidRPr="00543B7A" w:rsidRDefault="00766AC0" w:rsidP="00FF690F">
      <w:pPr>
        <w:pStyle w:val="references"/>
        <w:numPr>
          <w:ilvl w:val="0"/>
          <w:numId w:val="0"/>
        </w:numPr>
        <w:ind w:start="18pt"/>
        <w:rPr>
          <w:sz w:val="20"/>
          <w:szCs w:val="20"/>
        </w:rPr>
      </w:pPr>
    </w:p>
    <w:p w14:paraId="730CEC9B" w14:textId="479E23D0" w:rsidR="00766AC0" w:rsidRPr="00543B7A" w:rsidRDefault="00766AC0" w:rsidP="00FF690F">
      <w:pPr>
        <w:pStyle w:val="references"/>
        <w:numPr>
          <w:ilvl w:val="0"/>
          <w:numId w:val="0"/>
        </w:numPr>
        <w:ind w:start="18pt"/>
        <w:rPr>
          <w:sz w:val="20"/>
          <w:szCs w:val="20"/>
        </w:rPr>
      </w:pPr>
      <w:r w:rsidRPr="00543B7A">
        <w:rPr>
          <w:sz w:val="20"/>
          <w:szCs w:val="20"/>
        </w:rPr>
        <w:t xml:space="preserve">[18] </w:t>
      </w:r>
      <w:r w:rsidRPr="00543B7A">
        <w:rPr>
          <w:rStyle w:val="whitespace-normal"/>
          <w:sz w:val="20"/>
          <w:szCs w:val="20"/>
        </w:rPr>
        <w:t>Ashish Vaswani</w:t>
      </w:r>
      <w:r w:rsidRPr="00543B7A">
        <w:rPr>
          <w:sz w:val="20"/>
          <w:szCs w:val="20"/>
        </w:rPr>
        <w:t xml:space="preserve"> et al., “Attention Is All You Need,” </w:t>
      </w:r>
      <w:r w:rsidRPr="00543B7A">
        <w:rPr>
          <w:rStyle w:val="Emphasis"/>
          <w:sz w:val="20"/>
          <w:szCs w:val="20"/>
        </w:rPr>
        <w:t>NeurIPS</w:t>
      </w:r>
      <w:r w:rsidRPr="00543B7A">
        <w:rPr>
          <w:sz w:val="20"/>
          <w:szCs w:val="20"/>
        </w:rPr>
        <w:t>, 2017.</w:t>
      </w:r>
    </w:p>
    <w:p w14:paraId="2FC7B9BB" w14:textId="1C2CFB99" w:rsidR="00766AC0" w:rsidRPr="00543B7A" w:rsidRDefault="00766AC0" w:rsidP="00FF690F">
      <w:pPr>
        <w:pStyle w:val="references"/>
        <w:numPr>
          <w:ilvl w:val="0"/>
          <w:numId w:val="0"/>
        </w:numPr>
        <w:ind w:start="18pt"/>
        <w:rPr>
          <w:sz w:val="20"/>
          <w:szCs w:val="20"/>
        </w:rPr>
      </w:pPr>
    </w:p>
    <w:p w14:paraId="04BCED0F" w14:textId="70F5EFCE" w:rsidR="00766AC0" w:rsidRPr="00543B7A" w:rsidRDefault="00766AC0" w:rsidP="00FF690F">
      <w:pPr>
        <w:pStyle w:val="references"/>
        <w:numPr>
          <w:ilvl w:val="0"/>
          <w:numId w:val="0"/>
        </w:numPr>
        <w:ind w:start="18pt"/>
        <w:rPr>
          <w:sz w:val="20"/>
          <w:szCs w:val="20"/>
        </w:rPr>
      </w:pPr>
      <w:r w:rsidRPr="00543B7A">
        <w:rPr>
          <w:sz w:val="20"/>
          <w:szCs w:val="20"/>
        </w:rPr>
        <w:t xml:space="preserve">[19] </w:t>
      </w:r>
      <w:r w:rsidRPr="00543B7A">
        <w:rPr>
          <w:rStyle w:val="whitespace-normal"/>
          <w:sz w:val="20"/>
          <w:szCs w:val="20"/>
        </w:rPr>
        <w:t>Alex Krizhevsky</w:t>
      </w:r>
      <w:r w:rsidRPr="00543B7A">
        <w:rPr>
          <w:sz w:val="20"/>
          <w:szCs w:val="20"/>
        </w:rPr>
        <w:t xml:space="preserve"> et al., “ImageNet Classification with Deep Convolutional Neural Networks,” </w:t>
      </w:r>
      <w:r w:rsidRPr="00543B7A">
        <w:rPr>
          <w:rStyle w:val="Emphasis"/>
          <w:sz w:val="20"/>
          <w:szCs w:val="20"/>
        </w:rPr>
        <w:t>NeurIPS</w:t>
      </w:r>
      <w:r w:rsidRPr="00543B7A">
        <w:rPr>
          <w:sz w:val="20"/>
          <w:szCs w:val="20"/>
        </w:rPr>
        <w:t>, 2012.</w:t>
      </w:r>
    </w:p>
    <w:p w14:paraId="25504030" w14:textId="12BB42BD" w:rsidR="00766AC0" w:rsidRPr="00543B7A" w:rsidRDefault="00766AC0" w:rsidP="00FF690F">
      <w:pPr>
        <w:pStyle w:val="references"/>
        <w:numPr>
          <w:ilvl w:val="0"/>
          <w:numId w:val="0"/>
        </w:numPr>
        <w:ind w:start="18pt"/>
        <w:rPr>
          <w:sz w:val="20"/>
          <w:szCs w:val="20"/>
        </w:rPr>
      </w:pPr>
    </w:p>
    <w:p w14:paraId="34FC0335" w14:textId="772DDBDB" w:rsidR="00766AC0" w:rsidRPr="00543B7A" w:rsidRDefault="00543B7A" w:rsidP="00FF690F">
      <w:pPr>
        <w:pStyle w:val="references"/>
        <w:numPr>
          <w:ilvl w:val="0"/>
          <w:numId w:val="0"/>
        </w:numPr>
        <w:ind w:start="18pt"/>
        <w:rPr>
          <w:sz w:val="20"/>
          <w:szCs w:val="20"/>
        </w:rPr>
      </w:pPr>
      <w:r w:rsidRPr="00543B7A">
        <w:rPr>
          <w:sz w:val="20"/>
          <w:szCs w:val="20"/>
        </w:rPr>
        <w:t>[20</w:t>
      </w:r>
      <w:r w:rsidR="00766AC0" w:rsidRPr="00543B7A">
        <w:rPr>
          <w:sz w:val="20"/>
          <w:szCs w:val="20"/>
        </w:rPr>
        <w:t xml:space="preserve">] </w:t>
      </w:r>
      <w:r w:rsidR="00766AC0" w:rsidRPr="00543B7A">
        <w:rPr>
          <w:rStyle w:val="whitespace-normal"/>
          <w:sz w:val="20"/>
          <w:szCs w:val="20"/>
        </w:rPr>
        <w:t>Geoffrey Hinton</w:t>
      </w:r>
      <w:r w:rsidR="00766AC0" w:rsidRPr="00543B7A">
        <w:rPr>
          <w:sz w:val="20"/>
          <w:szCs w:val="20"/>
        </w:rPr>
        <w:t xml:space="preserve"> et al., “Deep Neural Networks for Acoustic Modeling in Speech Recognition,” </w:t>
      </w:r>
      <w:r w:rsidR="00766AC0" w:rsidRPr="00543B7A">
        <w:rPr>
          <w:rStyle w:val="Emphasis"/>
          <w:sz w:val="20"/>
          <w:szCs w:val="20"/>
        </w:rPr>
        <w:t>IEEE Signal Processing Magazine</w:t>
      </w:r>
      <w:r w:rsidR="00766AC0" w:rsidRPr="00543B7A">
        <w:rPr>
          <w:sz w:val="20"/>
          <w:szCs w:val="20"/>
        </w:rPr>
        <w:t>, 2012.</w:t>
      </w:r>
    </w:p>
    <w:p w14:paraId="1A9A302B" w14:textId="2836939A" w:rsidR="00766AC0" w:rsidRPr="00543B7A" w:rsidRDefault="00766AC0" w:rsidP="00FF690F">
      <w:pPr>
        <w:pStyle w:val="references"/>
        <w:numPr>
          <w:ilvl w:val="0"/>
          <w:numId w:val="0"/>
        </w:numPr>
        <w:ind w:start="18pt"/>
        <w:rPr>
          <w:sz w:val="20"/>
          <w:szCs w:val="20"/>
        </w:rPr>
      </w:pPr>
    </w:p>
    <w:p w14:paraId="50C93457" w14:textId="230FFAD2" w:rsidR="00766AC0" w:rsidRPr="00543B7A" w:rsidRDefault="00543B7A" w:rsidP="00FF690F">
      <w:pPr>
        <w:pStyle w:val="references"/>
        <w:numPr>
          <w:ilvl w:val="0"/>
          <w:numId w:val="0"/>
        </w:numPr>
        <w:ind w:start="18pt"/>
        <w:rPr>
          <w:sz w:val="20"/>
          <w:szCs w:val="20"/>
        </w:rPr>
      </w:pPr>
      <w:r w:rsidRPr="00543B7A">
        <w:rPr>
          <w:sz w:val="20"/>
          <w:szCs w:val="20"/>
        </w:rPr>
        <w:t>[21</w:t>
      </w:r>
      <w:r w:rsidR="00766AC0" w:rsidRPr="00543B7A">
        <w:rPr>
          <w:sz w:val="20"/>
          <w:szCs w:val="20"/>
        </w:rPr>
        <w:t xml:space="preserve">] </w:t>
      </w:r>
      <w:r w:rsidR="00766AC0" w:rsidRPr="00543B7A">
        <w:rPr>
          <w:rStyle w:val="whitespace-normal"/>
          <w:sz w:val="20"/>
          <w:szCs w:val="20"/>
        </w:rPr>
        <w:t>James Bradfield</w:t>
      </w:r>
      <w:r w:rsidR="00766AC0" w:rsidRPr="00543B7A">
        <w:rPr>
          <w:sz w:val="20"/>
          <w:szCs w:val="20"/>
        </w:rPr>
        <w:t xml:space="preserve"> et al., “Deep Learning for Clinical Prognosis: A Review,” </w:t>
      </w:r>
      <w:r w:rsidR="00766AC0" w:rsidRPr="00543B7A">
        <w:rPr>
          <w:rStyle w:val="Emphasis"/>
          <w:sz w:val="20"/>
          <w:szCs w:val="20"/>
        </w:rPr>
        <w:t>Journal of Biomedical Informatics</w:t>
      </w:r>
      <w:r w:rsidR="00766AC0" w:rsidRPr="00543B7A">
        <w:rPr>
          <w:sz w:val="20"/>
          <w:szCs w:val="20"/>
        </w:rPr>
        <w:t>, 2019.</w:t>
      </w:r>
    </w:p>
    <w:p w14:paraId="0DA3E7B6" w14:textId="63FCD66E" w:rsidR="00766AC0" w:rsidRPr="00543B7A" w:rsidRDefault="00766AC0" w:rsidP="00FF690F">
      <w:pPr>
        <w:pStyle w:val="references"/>
        <w:numPr>
          <w:ilvl w:val="0"/>
          <w:numId w:val="0"/>
        </w:numPr>
        <w:ind w:start="18pt"/>
        <w:rPr>
          <w:sz w:val="20"/>
          <w:szCs w:val="20"/>
        </w:rPr>
      </w:pPr>
    </w:p>
    <w:p w14:paraId="75BB2555" w14:textId="77D30CEB" w:rsidR="00766AC0" w:rsidRPr="00543B7A" w:rsidRDefault="00543B7A" w:rsidP="00FF690F">
      <w:pPr>
        <w:pStyle w:val="references"/>
        <w:numPr>
          <w:ilvl w:val="0"/>
          <w:numId w:val="0"/>
        </w:numPr>
        <w:ind w:start="18pt"/>
        <w:rPr>
          <w:sz w:val="20"/>
          <w:szCs w:val="20"/>
        </w:rPr>
      </w:pPr>
      <w:r w:rsidRPr="00543B7A">
        <w:rPr>
          <w:sz w:val="20"/>
          <w:szCs w:val="20"/>
        </w:rPr>
        <w:t>[22</w:t>
      </w:r>
      <w:r w:rsidR="00766AC0" w:rsidRPr="00543B7A">
        <w:rPr>
          <w:sz w:val="20"/>
          <w:szCs w:val="20"/>
        </w:rPr>
        <w:t xml:space="preserve">] </w:t>
      </w:r>
      <w:r w:rsidR="00766AC0" w:rsidRPr="00543B7A">
        <w:rPr>
          <w:rStyle w:val="whitespace-normal"/>
          <w:sz w:val="20"/>
          <w:szCs w:val="20"/>
        </w:rPr>
        <w:t>Rajesh Ranganath</w:t>
      </w:r>
      <w:r w:rsidR="00766AC0" w:rsidRPr="00543B7A">
        <w:rPr>
          <w:sz w:val="20"/>
          <w:szCs w:val="20"/>
        </w:rPr>
        <w:t xml:space="preserve"> et al., “Deep Survival Analysis,” </w:t>
      </w:r>
      <w:r w:rsidR="00766AC0" w:rsidRPr="00543B7A">
        <w:rPr>
          <w:rStyle w:val="Emphasis"/>
          <w:sz w:val="20"/>
          <w:szCs w:val="20"/>
        </w:rPr>
        <w:t>Machine Learning Research</w:t>
      </w:r>
      <w:r w:rsidR="00766AC0" w:rsidRPr="00543B7A">
        <w:rPr>
          <w:sz w:val="20"/>
          <w:szCs w:val="20"/>
        </w:rPr>
        <w:t>, 2016.</w:t>
      </w:r>
    </w:p>
    <w:p w14:paraId="5CC38EB9" w14:textId="55472CDE" w:rsidR="00766AC0" w:rsidRPr="00543B7A" w:rsidRDefault="00766AC0" w:rsidP="00FF690F">
      <w:pPr>
        <w:pStyle w:val="references"/>
        <w:numPr>
          <w:ilvl w:val="0"/>
          <w:numId w:val="0"/>
        </w:numPr>
        <w:ind w:start="18pt"/>
        <w:rPr>
          <w:sz w:val="20"/>
          <w:szCs w:val="20"/>
        </w:rPr>
      </w:pPr>
    </w:p>
    <w:p w14:paraId="75F9BA4D" w14:textId="5F2001A6" w:rsidR="00226905" w:rsidRPr="00D51E13" w:rsidRDefault="00543B7A" w:rsidP="00D51E13">
      <w:pPr>
        <w:pStyle w:val="references"/>
        <w:numPr>
          <w:ilvl w:val="0"/>
          <w:numId w:val="0"/>
        </w:numPr>
        <w:ind w:start="18pt"/>
        <w:rPr>
          <w:sz w:val="20"/>
          <w:szCs w:val="20"/>
        </w:rPr>
      </w:pPr>
      <w:r w:rsidRPr="00543B7A">
        <w:rPr>
          <w:sz w:val="20"/>
          <w:szCs w:val="20"/>
        </w:rPr>
        <w:t>[23</w:t>
      </w:r>
      <w:r w:rsidR="00766AC0" w:rsidRPr="00543B7A">
        <w:rPr>
          <w:sz w:val="20"/>
          <w:szCs w:val="20"/>
        </w:rPr>
        <w:t xml:space="preserve">] </w:t>
      </w:r>
      <w:r w:rsidR="00766AC0" w:rsidRPr="00543B7A">
        <w:rPr>
          <w:rStyle w:val="whitespace-normal"/>
          <w:sz w:val="20"/>
          <w:szCs w:val="20"/>
        </w:rPr>
        <w:t>Peter Harrell</w:t>
      </w:r>
      <w:r w:rsidR="00766AC0" w:rsidRPr="00543B7A">
        <w:rPr>
          <w:sz w:val="20"/>
          <w:szCs w:val="20"/>
        </w:rPr>
        <w:t xml:space="preserve"> et al., “Evaluating the Yield of Medical Tests,” </w:t>
      </w:r>
      <w:r w:rsidR="00766AC0" w:rsidRPr="00543B7A">
        <w:rPr>
          <w:rStyle w:val="Emphasis"/>
          <w:sz w:val="20"/>
          <w:szCs w:val="20"/>
        </w:rPr>
        <w:t>JAMA</w:t>
      </w:r>
      <w:r w:rsidR="00766AC0" w:rsidRPr="00543B7A">
        <w:rPr>
          <w:sz w:val="20"/>
          <w:szCs w:val="20"/>
        </w:rPr>
        <w:t>, 1982.</w:t>
      </w:r>
    </w:p>
    <w:p w14:paraId="5CD8FC5A" w14:textId="0B55F14C" w:rsidR="00226905" w:rsidRDefault="00226905" w:rsidP="00226905">
      <w:pPr>
        <w:pStyle w:val="references"/>
        <w:numPr>
          <w:ilvl w:val="0"/>
          <w:numId w:val="0"/>
        </w:numPr>
        <w:ind w:start="18pt"/>
      </w:pPr>
    </w:p>
    <w:p w14:paraId="7B16B9F6" w14:textId="31E90BE7" w:rsidR="00226905" w:rsidRDefault="00226905" w:rsidP="00226905">
      <w:pPr>
        <w:pStyle w:val="references"/>
        <w:numPr>
          <w:ilvl w:val="0"/>
          <w:numId w:val="0"/>
        </w:numPr>
        <w:ind w:start="18pt"/>
      </w:pPr>
    </w:p>
    <w:sectPr w:rsidR="00226905" w:rsidSect="00226905">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BAE7341" w14:textId="77777777" w:rsidR="000C3D3D" w:rsidRDefault="000C3D3D" w:rsidP="001A3B3D">
      <w:r>
        <w:separator/>
      </w:r>
    </w:p>
  </w:endnote>
  <w:endnote w:type="continuationSeparator" w:id="0">
    <w:p w14:paraId="53231CB7" w14:textId="77777777" w:rsidR="000C3D3D" w:rsidRDefault="000C3D3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155D7450" w14:textId="77777777" w:rsidR="000C3D3D" w:rsidRDefault="000C3D3D" w:rsidP="001A3B3D">
      <w:r>
        <w:separator/>
      </w:r>
    </w:p>
  </w:footnote>
  <w:footnote w:type="continuationSeparator" w:id="0">
    <w:p w14:paraId="71D55A6B" w14:textId="77777777" w:rsidR="000C3D3D" w:rsidRDefault="000C3D3D"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9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85.20pt"/>
        </w:tabs>
        <w:ind w:start="81.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94.2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98.7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229.20pt"/>
        </w:tabs>
        <w:ind w:start="211.20pt"/>
      </w:pPr>
      <w:rPr>
        <w:rFonts w:cs="Times New Roman" w:hint="default"/>
      </w:rPr>
    </w:lvl>
    <w:lvl w:ilvl="5">
      <w:start w:val="1"/>
      <w:numFmt w:val="lowerLetter"/>
      <w:lvlText w:val="(%6)"/>
      <w:lvlJc w:val="start"/>
      <w:pPr>
        <w:tabs>
          <w:tab w:val="num" w:pos="265.20pt"/>
        </w:tabs>
        <w:ind w:start="247.20pt"/>
      </w:pPr>
      <w:rPr>
        <w:rFonts w:cs="Times New Roman" w:hint="default"/>
      </w:rPr>
    </w:lvl>
    <w:lvl w:ilvl="6">
      <w:start w:val="1"/>
      <w:numFmt w:val="lowerRoman"/>
      <w:lvlText w:val="(%7)"/>
      <w:lvlJc w:val="start"/>
      <w:pPr>
        <w:tabs>
          <w:tab w:val="num" w:pos="301.20pt"/>
        </w:tabs>
        <w:ind w:start="283.20pt"/>
      </w:pPr>
      <w:rPr>
        <w:rFonts w:cs="Times New Roman" w:hint="default"/>
      </w:rPr>
    </w:lvl>
    <w:lvl w:ilvl="7">
      <w:start w:val="1"/>
      <w:numFmt w:val="lowerLetter"/>
      <w:lvlText w:val="(%8)"/>
      <w:lvlJc w:val="start"/>
      <w:pPr>
        <w:tabs>
          <w:tab w:val="num" w:pos="337.20pt"/>
        </w:tabs>
        <w:ind w:start="319.20pt"/>
      </w:pPr>
      <w:rPr>
        <w:rFonts w:cs="Times New Roman" w:hint="default"/>
      </w:rPr>
    </w:lvl>
    <w:lvl w:ilvl="8">
      <w:start w:val="1"/>
      <w:numFmt w:val="lowerRoman"/>
      <w:lvlText w:val="(%9)"/>
      <w:lvlJc w:val="start"/>
      <w:pPr>
        <w:tabs>
          <w:tab w:val="num" w:pos="373.20pt"/>
        </w:tabs>
        <w:ind w:start="355.20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187A"/>
    <w:rsid w:val="00012268"/>
    <w:rsid w:val="0004781E"/>
    <w:rsid w:val="0008758A"/>
    <w:rsid w:val="000A0E04"/>
    <w:rsid w:val="000C1E68"/>
    <w:rsid w:val="000C3D3D"/>
    <w:rsid w:val="000E5B17"/>
    <w:rsid w:val="00104B87"/>
    <w:rsid w:val="0012694E"/>
    <w:rsid w:val="00140FFE"/>
    <w:rsid w:val="0015079E"/>
    <w:rsid w:val="00156B74"/>
    <w:rsid w:val="001751D2"/>
    <w:rsid w:val="00181D78"/>
    <w:rsid w:val="001865AA"/>
    <w:rsid w:val="00197142"/>
    <w:rsid w:val="001A2EFD"/>
    <w:rsid w:val="001A3B3D"/>
    <w:rsid w:val="001A42EA"/>
    <w:rsid w:val="001B67DC"/>
    <w:rsid w:val="001C6F29"/>
    <w:rsid w:val="001D7BCF"/>
    <w:rsid w:val="002254A9"/>
    <w:rsid w:val="002254CA"/>
    <w:rsid w:val="00226905"/>
    <w:rsid w:val="00233D97"/>
    <w:rsid w:val="00235647"/>
    <w:rsid w:val="002850E3"/>
    <w:rsid w:val="00291BDE"/>
    <w:rsid w:val="002A4325"/>
    <w:rsid w:val="002F4BD1"/>
    <w:rsid w:val="00354FCF"/>
    <w:rsid w:val="003A19E2"/>
    <w:rsid w:val="003A598E"/>
    <w:rsid w:val="00421EC6"/>
    <w:rsid w:val="004325FB"/>
    <w:rsid w:val="00442CAB"/>
    <w:rsid w:val="004432BA"/>
    <w:rsid w:val="0044407E"/>
    <w:rsid w:val="00460868"/>
    <w:rsid w:val="00465CEF"/>
    <w:rsid w:val="004C4A7D"/>
    <w:rsid w:val="004D72B5"/>
    <w:rsid w:val="004E7759"/>
    <w:rsid w:val="00543B7A"/>
    <w:rsid w:val="00547E73"/>
    <w:rsid w:val="00551B7F"/>
    <w:rsid w:val="0056610F"/>
    <w:rsid w:val="00575BCA"/>
    <w:rsid w:val="005B0344"/>
    <w:rsid w:val="005B520E"/>
    <w:rsid w:val="005D4E5F"/>
    <w:rsid w:val="005E2800"/>
    <w:rsid w:val="006347CF"/>
    <w:rsid w:val="00645D22"/>
    <w:rsid w:val="00651A08"/>
    <w:rsid w:val="00654204"/>
    <w:rsid w:val="00656F46"/>
    <w:rsid w:val="00670434"/>
    <w:rsid w:val="00672B70"/>
    <w:rsid w:val="006B6B66"/>
    <w:rsid w:val="006F6D3D"/>
    <w:rsid w:val="00704134"/>
    <w:rsid w:val="00704FC9"/>
    <w:rsid w:val="007109D5"/>
    <w:rsid w:val="00715BEA"/>
    <w:rsid w:val="00740EEA"/>
    <w:rsid w:val="007453BC"/>
    <w:rsid w:val="007532D7"/>
    <w:rsid w:val="007564AF"/>
    <w:rsid w:val="00766AC0"/>
    <w:rsid w:val="00794804"/>
    <w:rsid w:val="007A0781"/>
    <w:rsid w:val="007B33F1"/>
    <w:rsid w:val="007B3A22"/>
    <w:rsid w:val="007C0308"/>
    <w:rsid w:val="007C2FF2"/>
    <w:rsid w:val="007D6232"/>
    <w:rsid w:val="007E38CD"/>
    <w:rsid w:val="007E5296"/>
    <w:rsid w:val="007F1F99"/>
    <w:rsid w:val="007F768F"/>
    <w:rsid w:val="0080791D"/>
    <w:rsid w:val="00825105"/>
    <w:rsid w:val="00867822"/>
    <w:rsid w:val="00873603"/>
    <w:rsid w:val="008A2C7D"/>
    <w:rsid w:val="008C4B23"/>
    <w:rsid w:val="008F6E2C"/>
    <w:rsid w:val="009001A2"/>
    <w:rsid w:val="00916BC1"/>
    <w:rsid w:val="009303D9"/>
    <w:rsid w:val="00933C64"/>
    <w:rsid w:val="00972203"/>
    <w:rsid w:val="00982096"/>
    <w:rsid w:val="009B1CA1"/>
    <w:rsid w:val="009B6AC2"/>
    <w:rsid w:val="00A059B3"/>
    <w:rsid w:val="00A83751"/>
    <w:rsid w:val="00A85FF5"/>
    <w:rsid w:val="00AE3409"/>
    <w:rsid w:val="00AE54ED"/>
    <w:rsid w:val="00B11A60"/>
    <w:rsid w:val="00B22613"/>
    <w:rsid w:val="00B30551"/>
    <w:rsid w:val="00B40692"/>
    <w:rsid w:val="00B54A87"/>
    <w:rsid w:val="00BA1025"/>
    <w:rsid w:val="00BB18C5"/>
    <w:rsid w:val="00BC3420"/>
    <w:rsid w:val="00BE7D3C"/>
    <w:rsid w:val="00BF5FF6"/>
    <w:rsid w:val="00C0207F"/>
    <w:rsid w:val="00C02B8D"/>
    <w:rsid w:val="00C16117"/>
    <w:rsid w:val="00C23628"/>
    <w:rsid w:val="00C3075A"/>
    <w:rsid w:val="00C36790"/>
    <w:rsid w:val="00C50956"/>
    <w:rsid w:val="00C76FFC"/>
    <w:rsid w:val="00C919A4"/>
    <w:rsid w:val="00CA4392"/>
    <w:rsid w:val="00CC393F"/>
    <w:rsid w:val="00CD17E0"/>
    <w:rsid w:val="00CF0747"/>
    <w:rsid w:val="00D13749"/>
    <w:rsid w:val="00D14E88"/>
    <w:rsid w:val="00D2176E"/>
    <w:rsid w:val="00D26F75"/>
    <w:rsid w:val="00D37E3F"/>
    <w:rsid w:val="00D45257"/>
    <w:rsid w:val="00D51E13"/>
    <w:rsid w:val="00D5212A"/>
    <w:rsid w:val="00D632BE"/>
    <w:rsid w:val="00D72D06"/>
    <w:rsid w:val="00D7522C"/>
    <w:rsid w:val="00D7536F"/>
    <w:rsid w:val="00D76668"/>
    <w:rsid w:val="00DB05BD"/>
    <w:rsid w:val="00DD114F"/>
    <w:rsid w:val="00DD5412"/>
    <w:rsid w:val="00E13C41"/>
    <w:rsid w:val="00E338B9"/>
    <w:rsid w:val="00E5768F"/>
    <w:rsid w:val="00E61E12"/>
    <w:rsid w:val="00E73E2F"/>
    <w:rsid w:val="00E7596C"/>
    <w:rsid w:val="00E84FC4"/>
    <w:rsid w:val="00E878F2"/>
    <w:rsid w:val="00ED0149"/>
    <w:rsid w:val="00EE3E0F"/>
    <w:rsid w:val="00EF7DE3"/>
    <w:rsid w:val="00F03103"/>
    <w:rsid w:val="00F050EC"/>
    <w:rsid w:val="00F12284"/>
    <w:rsid w:val="00F271DE"/>
    <w:rsid w:val="00F353ED"/>
    <w:rsid w:val="00F627DA"/>
    <w:rsid w:val="00F7288F"/>
    <w:rsid w:val="00F847A6"/>
    <w:rsid w:val="00F9441B"/>
    <w:rsid w:val="00F96569"/>
    <w:rsid w:val="00FA4C32"/>
    <w:rsid w:val="00FC372A"/>
    <w:rsid w:val="00FE7114"/>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customStyle="1"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uiPriority w:val="39"/>
    <w:rsid w:val="00DD114F"/>
    <w:rPr>
      <w:rFonts w:asciiTheme="minorHAnsi" w:eastAsiaTheme="minorHAnsi" w:hAnsiTheme="minorHAnsi" w:cstheme="minorBidi"/>
      <w:sz w:val="22"/>
      <w:szCs w:val="22"/>
      <w:lang w:val="en-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FF690F"/>
  </w:style>
  <w:style w:type="character" w:styleId="Emphasis">
    <w:name w:val="Emphasis"/>
    <w:basedOn w:val="DefaultParagraphFont"/>
    <w:uiPriority w:val="20"/>
    <w:qFormat/>
    <w:rsid w:val="00FF690F"/>
    <w:rPr>
      <w:i/>
      <w:iCs/>
    </w:rPr>
  </w:style>
  <w:style w:type="character" w:styleId="PlaceholderText">
    <w:name w:val="Placeholder Text"/>
    <w:basedOn w:val="DefaultParagraphFont"/>
    <w:uiPriority w:val="99"/>
    <w:semiHidden/>
    <w:rsid w:val="000A0E04"/>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48523528">
      <w:bodyDiv w:val="1"/>
      <w:marLeft w:val="0pt"/>
      <w:marRight w:val="0pt"/>
      <w:marTop w:val="0pt"/>
      <w:marBottom w:val="0pt"/>
      <w:divBdr>
        <w:top w:val="none" w:sz="0" w:space="0" w:color="auto"/>
        <w:left w:val="none" w:sz="0" w:space="0" w:color="auto"/>
        <w:bottom w:val="none" w:sz="0" w:space="0" w:color="auto"/>
        <w:right w:val="none" w:sz="0" w:space="0" w:color="auto"/>
      </w:divBdr>
    </w:div>
    <w:div w:id="378942604">
      <w:bodyDiv w:val="1"/>
      <w:marLeft w:val="0pt"/>
      <w:marRight w:val="0pt"/>
      <w:marTop w:val="0pt"/>
      <w:marBottom w:val="0pt"/>
      <w:divBdr>
        <w:top w:val="none" w:sz="0" w:space="0" w:color="auto"/>
        <w:left w:val="none" w:sz="0" w:space="0" w:color="auto"/>
        <w:bottom w:val="none" w:sz="0" w:space="0" w:color="auto"/>
        <w:right w:val="none" w:sz="0" w:space="0" w:color="auto"/>
      </w:divBdr>
    </w:div>
    <w:div w:id="719325435">
      <w:bodyDiv w:val="1"/>
      <w:marLeft w:val="0pt"/>
      <w:marRight w:val="0pt"/>
      <w:marTop w:val="0pt"/>
      <w:marBottom w:val="0pt"/>
      <w:divBdr>
        <w:top w:val="none" w:sz="0" w:space="0" w:color="auto"/>
        <w:left w:val="none" w:sz="0" w:space="0" w:color="auto"/>
        <w:bottom w:val="none" w:sz="0" w:space="0" w:color="auto"/>
        <w:right w:val="none" w:sz="0" w:space="0" w:color="auto"/>
      </w:divBdr>
    </w:div>
    <w:div w:id="794104365">
      <w:bodyDiv w:val="1"/>
      <w:marLeft w:val="0pt"/>
      <w:marRight w:val="0pt"/>
      <w:marTop w:val="0pt"/>
      <w:marBottom w:val="0pt"/>
      <w:divBdr>
        <w:top w:val="none" w:sz="0" w:space="0" w:color="auto"/>
        <w:left w:val="none" w:sz="0" w:space="0" w:color="auto"/>
        <w:bottom w:val="none" w:sz="0" w:space="0" w:color="auto"/>
        <w:right w:val="none" w:sz="0" w:space="0" w:color="auto"/>
      </w:divBdr>
    </w:div>
    <w:div w:id="1249465691">
      <w:bodyDiv w:val="1"/>
      <w:marLeft w:val="0pt"/>
      <w:marRight w:val="0pt"/>
      <w:marTop w:val="0pt"/>
      <w:marBottom w:val="0pt"/>
      <w:divBdr>
        <w:top w:val="none" w:sz="0" w:space="0" w:color="auto"/>
        <w:left w:val="none" w:sz="0" w:space="0" w:color="auto"/>
        <w:bottom w:val="none" w:sz="0" w:space="0" w:color="auto"/>
        <w:right w:val="none" w:sz="0" w:space="0" w:color="auto"/>
      </w:divBdr>
    </w:div>
    <w:div w:id="1429110398">
      <w:bodyDiv w:val="1"/>
      <w:marLeft w:val="0pt"/>
      <w:marRight w:val="0pt"/>
      <w:marTop w:val="0pt"/>
      <w:marBottom w:val="0pt"/>
      <w:divBdr>
        <w:top w:val="none" w:sz="0" w:space="0" w:color="auto"/>
        <w:left w:val="none" w:sz="0" w:space="0" w:color="auto"/>
        <w:bottom w:val="none" w:sz="0" w:space="0" w:color="auto"/>
        <w:right w:val="none" w:sz="0" w:space="0" w:color="auto"/>
      </w:divBdr>
    </w:div>
    <w:div w:id="202435362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kunjika.agarwal_bca23@gla.ac.in" TargetMode="External"/><Relationship Id="rId13" Type="http://purl.oclc.org/ooxml/officeDocument/relationships/image" Target="media/image1.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footer" Target="footer1.xm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nishant.gautam_bca23@gla.ac.in" TargetMode="External"/><Relationship Id="rId5" Type="http://purl.oclc.org/ooxml/officeDocument/relationships/webSettings" Target="webSettings.xml"/><Relationship Id="rId15" Type="http://purl.oclc.org/ooxml/officeDocument/relationships/image" Target="media/image3.png"/><Relationship Id="rId10" Type="http://purl.oclc.org/ooxml/officeDocument/relationships/hyperlink" Target="mailto:Lovekush.chauhan_bca23@gla.ac.in" TargetMode="External"/><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mailto:lalit.badhotiya_bca23@gla.ac.in" TargetMode="External"/><Relationship Id="rId14"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42A0B37-557B-41A3-8DBB-A4F9DDF79FA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168</TotalTime>
  <Pages>1</Pages>
  <Words>3085</Words>
  <Characters>17588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lalit</cp:lastModifiedBy>
  <cp:revision>7</cp:revision>
  <dcterms:created xsi:type="dcterms:W3CDTF">2026-04-25T11:05:00Z</dcterms:created>
  <dcterms:modified xsi:type="dcterms:W3CDTF">2026-04-26T10:21:00Z</dcterms:modified>
</cp:coreProperties>
</file>