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4FBF"/>
          <w:sz w:val="52"/>
          <w:szCs w:val="52"/>
        </w:rPr>
        <w:t xml:space="preserve">RL-Guided Equivariant Flow Diffusion for</w:t>
      </w:r>
    </w:p>
    <w:p>
      <w:pPr>
        <w:spacing w:after="480" w:before="0"/>
        <w:jc w:val="center"/>
      </w:pPr>
      <w:r>
        <w:rPr>
          <w:rFonts w:ascii="Arial" w:cs="Arial" w:eastAsia="Arial" w:hAnsi="Arial"/>
          <w:b/>
          <w:bCs/>
          <w:color w:val="1B4FBF"/>
          <w:sz w:val="52"/>
          <w:szCs w:val="52"/>
        </w:rPr>
        <w:t xml:space="preserve">Structure-Based Drug Design</w:t>
      </w:r>
    </w:p>
    <w:p>
      <w:pPr>
        <w:pBdr>
          <w:bottom w:val="single" w:color="0E8C6E" w:sz="6" w:space="4"/>
        </w:pBdr>
        <w:spacing w:after="200" w:before="0"/>
        <w:jc w:val="center"/>
      </w:pPr>
      <w:r>
        <w:rPr>
          <w:rFonts w:ascii="Arial" w:cs="Arial" w:eastAsia="Arial" w:hAnsi="Arial"/>
          <w:color w:val="404040"/>
          <w:sz w:val="28"/>
          <w:szCs w:val="28"/>
        </w:rPr>
        <w:t xml:space="preserve">Problem Statement &amp; Proposed Architecture</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4FBF" w:sz="12"/>
              <w:bottom w:val="single" w:color="CCCCCC" w:sz="1"/>
              <w:right w:val="single" w:color="CCCCCC" w:sz="1"/>
            </w:tcBorders>
            <w:shd w:fill="D9E4F5" w:val="clear"/>
            <w:tcMar>
              <w:top w:type="dxa" w:w="200"/>
              <w:left w:type="dxa" w:w="280"/>
              <w:bottom w:type="dxa" w:w="200"/>
              <w:right w:type="dxa" w:w="200"/>
            </w:tcMar>
          </w:tcPr>
          <w:p>
            <w:pPr>
              <w:spacing w:after="80" w:before="0"/>
            </w:pPr>
            <w:r>
              <w:rPr>
                <w:rFonts w:ascii="Arial" w:cs="Arial" w:eastAsia="Arial" w:hAnsi="Arial"/>
                <w:b/>
                <w:bCs/>
                <w:color w:val="1B4FBF"/>
                <w:sz w:val="20"/>
                <w:szCs w:val="20"/>
              </w:rPr>
              <w:t xml:space="preserve">Dataset</w:t>
            </w:r>
          </w:p>
          <w:p>
            <w:pPr>
              <w:spacing w:after="60" w:before="0"/>
            </w:pPr>
            <w:r>
              <w:rPr>
                <w:rFonts w:ascii="Arial" w:cs="Arial" w:eastAsia="Arial" w:hAnsi="Arial"/>
                <w:sz w:val="20"/>
                <w:szCs w:val="20"/>
              </w:rPr>
              <w:t xml:space="preserve">64,759 pocket-ligand pairs  |  13,275 unique proteins  |  4 sub-datasets</w:t>
            </w:r>
          </w:p>
          <w:p>
            <w:pPr>
              <w:spacing w:after="60" w:before="0"/>
            </w:pPr>
            <w:r>
              <w:rPr>
                <w:rFonts w:ascii="Arial" w:cs="Arial" w:eastAsia="Arial" w:hAnsi="Arial"/>
                <w:sz w:val="20"/>
                <w:szCs w:val="20"/>
              </w:rPr>
              <w:t xml:space="preserve">CrossDocked (40,271)  |  HiQBind (13,482)  |  PDBbind (7,050)  |  scPDB (3,956)</w:t>
            </w:r>
          </w:p>
          <w:p>
            <w:pPr>
              <w:spacing w:after="0" w:before="0"/>
            </w:pPr>
            <w:r>
              <w:rPr>
                <w:rFonts w:ascii="Arial" w:cs="Arial" w:eastAsia="Arial" w:hAnsi="Arial"/>
                <w:sz w:val="20"/>
                <w:szCs w:val="20"/>
              </w:rPr>
              <w:t xml:space="preserve">100% Vina-scored  |  Consistent affinity scale  |  All pockets + ligands in 3D</w:t>
            </w:r>
          </w:p>
        </w:tc>
      </w:tr>
    </w:tbl>
    <w:p>
      <w:pPr>
        <w:spacing w:after="600" w:before="0"/>
      </w:pPr>
      <w:r>
        <w:t xml:space="preserve"/>
      </w:r>
    </w:p>
    <w:p>
      <w:r>
        <w:br w:type="page"/>
      </w:r>
    </w:p>
    <w:p>
      <w:pPr>
        <w:pStyle w:val="Heading1"/>
        <w:pBdr>
          <w:bottom w:val="single" w:color="1B4FBF" w:sz="8" w:space="4"/>
        </w:pBdr>
        <w:spacing w:after="160" w:before="360"/>
      </w:pPr>
      <w:r>
        <w:rPr>
          <w:rFonts w:ascii="Arial" w:cs="Arial" w:eastAsia="Arial" w:hAnsi="Arial"/>
          <w:b/>
          <w:bCs/>
          <w:color w:val="1B4FBF"/>
          <w:sz w:val="32"/>
          <w:szCs w:val="32"/>
        </w:rPr>
        <w:t xml:space="preserve">1. Problem Statement</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1.1 The Drug Discovery Challenge</w:t>
      </w:r>
    </w:p>
    <w:p>
      <w:pPr>
        <w:spacing w:after="100" w:before="80"/>
      </w:pPr>
      <w:r>
        <w:rPr>
          <w:rFonts w:ascii="Arial" w:cs="Arial" w:eastAsia="Arial" w:hAnsi="Arial"/>
          <w:sz w:val="22"/>
          <w:szCs w:val="22"/>
        </w:rPr>
        <w:t xml:space="preserve">Designing small molecules that bind tightly and selectively to a specific protein target is one of the hardest problems in pharmaceutical research. A successful drug candidate must satisfy a complex, multi-dimensional set of requirements simultaneously: it must bind to its intended protein pocket with high affinity, avoid binding to off-target proteins to prevent side effects, be physically stable and soluble in biological environments, be synthesisable in a laboratory without exotic chemistry, and exhibit favourable pharmacokinetic properties including oral bioavailability and metabolic stability.</w:t>
      </w:r>
    </w:p>
    <w:p>
      <w:pPr>
        <w:spacing w:after="60" w:before="0"/>
      </w:pPr>
      <w:r>
        <w:t xml:space="preserve"/>
      </w:r>
    </w:p>
    <w:p>
      <w:pPr>
        <w:spacing w:after="100" w:before="80"/>
      </w:pPr>
      <w:r>
        <w:rPr>
          <w:rFonts w:ascii="Arial" w:cs="Arial" w:eastAsia="Arial" w:hAnsi="Arial"/>
          <w:sz w:val="22"/>
          <w:szCs w:val="22"/>
        </w:rPr>
        <w:t xml:space="preserve">Traditional drug discovery pipelines address this challenge through a slow, sequential process. High-throughput experimental screening tests millions of compounds against a target, virtual screening computationally docks large chemical libraries, and medicinal chemists then manually optimise lead compounds guided by intuition and experience. This process takes an average of ten to fifteen years per approved drug and costs over a billion dollars, with a failure rate exceeding ninety percent at the clinical stage. The bottleneck is not computational power but the inability to efficiently explore and optimise across the vast chemical space of synthesisable drug-like molecules, which is estimated to contain more than ten to the sixty potential compounds.</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1.2 Structure-Based Drug Design (SBDD)</w:t>
      </w:r>
    </w:p>
    <w:p>
      <w:pPr>
        <w:spacing w:after="100" w:before="80"/>
      </w:pPr>
      <w:r>
        <w:rPr>
          <w:rFonts w:ascii="Arial" w:cs="Arial" w:eastAsia="Arial" w:hAnsi="Arial"/>
          <w:sz w:val="22"/>
          <w:szCs w:val="22"/>
        </w:rPr>
        <w:t xml:space="preserve">Structure-Based Drug Design (SBDD) leverages the experimentally or computationally determined three-dimensional structure of a protein binding pocket to guide the design of ligands with complementary shape, charge, and hydrogen-bonding properties. Rather than screening pre-existing chemical libraries, SBDD aims to generate new molecules de novo that are tailored to the specific geometry and chemistry of the target pocket.</w:t>
      </w:r>
    </w:p>
    <w:p>
      <w:pPr>
        <w:spacing w:after="60" w:before="0"/>
      </w:pPr>
      <w:r>
        <w:t xml:space="preserve"/>
      </w:r>
    </w:p>
    <w:p>
      <w:pPr>
        <w:spacing w:after="100" w:before="80"/>
      </w:pPr>
      <w:r>
        <w:rPr>
          <w:rFonts w:ascii="Arial" w:cs="Arial" w:eastAsia="Arial" w:hAnsi="Arial"/>
          <w:sz w:val="22"/>
          <w:szCs w:val="22"/>
        </w:rPr>
        <w:t xml:space="preserve">The central task in SBDD can be formally stated as follows: given the three-dimensional atomic structure of a protein binding pocket P, generate a set of small-molecule ligands M such that each ligand M binds to P with high affinity, exhibits drug-like physicochemical properties, and can be synthesised in a real laboratory. The pocket P is represented as a set of atoms with known three-dimensional Cartesian coordinates and chemical features including element types, amino acid identities, and backbone or sidechain membership. The generated ligand M must be represented as a valid molecular graph with physically realistic three-dimensional geometry embedded in the pocket volume.</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1.3 Limitations of Existing Deep Learning Approaches</w:t>
      </w:r>
    </w:p>
    <w:p>
      <w:pPr>
        <w:spacing w:after="100" w:before="80"/>
      </w:pPr>
      <w:r>
        <w:rPr>
          <w:rFonts w:ascii="Arial" w:cs="Arial" w:eastAsia="Arial" w:hAnsi="Arial"/>
          <w:sz w:val="22"/>
          <w:szCs w:val="22"/>
        </w:rPr>
        <w:t xml:space="preserve">Recent years have seen significant progress in applying deep generative models to SBDD, with two broad classes of approaches emerging: autoregressive models and diffusion models.</w:t>
      </w:r>
    </w:p>
    <w:p>
      <w:pPr>
        <w:spacing w:after="60" w:before="0"/>
      </w:pPr>
      <w:r>
        <w:t xml:space="preserve"/>
      </w:r>
    </w:p>
    <w:p>
      <w:pPr>
        <w:pStyle w:val="Heading3"/>
        <w:spacing w:after="80" w:before="200"/>
      </w:pPr>
      <w:r>
        <w:rPr>
          <w:rFonts w:ascii="Arial" w:cs="Arial" w:eastAsia="Arial" w:hAnsi="Arial"/>
          <w:b/>
          <w:bCs/>
          <w:color w:val="7B5EA7"/>
          <w:sz w:val="22"/>
          <w:szCs w:val="22"/>
        </w:rPr>
        <w:t xml:space="preserve">1.3.1 Autoregressive Models</w:t>
      </w:r>
    </w:p>
    <w:p>
      <w:pPr>
        <w:spacing w:after="100" w:before="80"/>
      </w:pPr>
      <w:r>
        <w:rPr>
          <w:rFonts w:ascii="Arial" w:cs="Arial" w:eastAsia="Arial" w:hAnsi="Arial"/>
          <w:sz w:val="22"/>
          <w:szCs w:val="22"/>
        </w:rPr>
        <w:t xml:space="preserve">Autoregressive models such as Pocket2Mol, ResGen, and the AR model generate molecules atom by atom, placing each new atom conditioned on the protein pocket and all previously placed atoms. While these methods achieve reasonable performance, they suffer from several fundamental limitations:</w:t>
      </w:r>
    </w:p>
    <w:p>
      <w:pPr>
        <w:pStyle w:val="ListParagraph"/>
        <w:numPr>
          <w:ilvl w:val="0"/>
          <w:numId w:val="2"/>
        </w:numPr>
        <w:spacing w:after="40" w:before="40"/>
      </w:pPr>
      <w:r>
        <w:rPr>
          <w:rFonts w:ascii="Arial" w:cs="Arial" w:eastAsia="Arial" w:hAnsi="Arial"/>
          <w:sz w:val="22"/>
          <w:szCs w:val="22"/>
        </w:rPr>
        <w:t xml:space="preserve">The sequential generation order is unnatural and imposes an artificial decomposition of the molecule that does not correspond to any physical or chemical process.</w:t>
      </w:r>
    </w:p>
    <w:p>
      <w:pPr>
        <w:pStyle w:val="ListParagraph"/>
        <w:numPr>
          <w:ilvl w:val="0"/>
          <w:numId w:val="2"/>
        </w:numPr>
        <w:spacing w:after="40" w:before="40"/>
      </w:pPr>
      <w:r>
        <w:rPr>
          <w:rFonts w:ascii="Arial" w:cs="Arial" w:eastAsia="Arial" w:hAnsi="Arial"/>
          <w:sz w:val="22"/>
          <w:szCs w:val="22"/>
        </w:rPr>
        <w:t xml:space="preserve">The model cannot consider global molecular context when placing early atoms, leading to suboptimal fragments and poor ring systems.</w:t>
      </w:r>
    </w:p>
    <w:p>
      <w:pPr>
        <w:pStyle w:val="ListParagraph"/>
        <w:numPr>
          <w:ilvl w:val="0"/>
          <w:numId w:val="2"/>
        </w:numPr>
        <w:spacing w:after="40" w:before="40"/>
      </w:pPr>
      <w:r>
        <w:rPr>
          <w:rFonts w:ascii="Arial" w:cs="Arial" w:eastAsia="Arial" w:hAnsi="Arial"/>
          <w:sz w:val="22"/>
          <w:szCs w:val="22"/>
        </w:rPr>
        <w:t xml:space="preserve">Inference time scales linearly with molecule size, making generation of larger drug-like molecules slow.</w:t>
      </w:r>
    </w:p>
    <w:p>
      <w:pPr>
        <w:pStyle w:val="ListParagraph"/>
        <w:numPr>
          <w:ilvl w:val="0"/>
          <w:numId w:val="2"/>
        </w:numPr>
        <w:spacing w:after="40" w:before="40"/>
      </w:pPr>
      <w:r>
        <w:rPr>
          <w:rFonts w:ascii="Arial" w:cs="Arial" w:eastAsia="Arial" w:hAnsi="Arial"/>
          <w:sz w:val="22"/>
          <w:szCs w:val="22"/>
        </w:rPr>
        <w:t xml:space="preserve">The training and sampling procedures are misaligned in that the model is trained on ground-truth atom sequences but samples from its own (potentially imperfect) predictions, causing exposure bias.</w:t>
      </w:r>
    </w:p>
    <w:p>
      <w:pPr>
        <w:spacing w:after="60" w:before="0"/>
      </w:pPr>
      <w:r>
        <w:t xml:space="preserve"/>
      </w:r>
    </w:p>
    <w:p>
      <w:pPr>
        <w:pStyle w:val="Heading3"/>
        <w:spacing w:after="80" w:before="200"/>
      </w:pPr>
      <w:r>
        <w:rPr>
          <w:rFonts w:ascii="Arial" w:cs="Arial" w:eastAsia="Arial" w:hAnsi="Arial"/>
          <w:b/>
          <w:bCs/>
          <w:color w:val="7B5EA7"/>
          <w:sz w:val="22"/>
          <w:szCs w:val="22"/>
        </w:rPr>
        <w:t xml:space="preserve">1.3.2 Existing Diffusion Models</w:t>
      </w:r>
    </w:p>
    <w:p>
      <w:pPr>
        <w:spacing w:after="100" w:before="80"/>
      </w:pPr>
      <w:r>
        <w:rPr>
          <w:rFonts w:ascii="Arial" w:cs="Arial" w:eastAsia="Arial" w:hAnsi="Arial"/>
          <w:sz w:val="22"/>
          <w:szCs w:val="22"/>
        </w:rPr>
        <w:t xml:space="preserve">Diffusion models such as DiffSBDD (Schneuing et al., Nature Computational Science 2024) and TargetDiff (Guan et al., ICLR 2023) represent a more recent and promising direction. These models place all atoms simultaneously by learning to reverse a noise process, enabling non-autoregressive generation that considers the entire molecule at once. However, both approaches have critical limitations that this project addresses directly.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4FBF" w:val="clear"/>
            <w:tcMar>
              <w:top w:type="dxa" w:w="80"/>
              <w:left w:type="dxa" w:w="160"/>
              <w:bottom w:type="dxa" w:w="80"/>
              <w:right w:type="dxa" w:w="120"/>
            </w:tcMar>
          </w:tcPr>
          <w:p>
            <w:r>
              <w:rPr>
                <w:rFonts w:ascii="Arial" w:cs="Arial" w:eastAsia="Arial" w:hAnsi="Arial"/>
                <w:b/>
                <w:bCs/>
                <w:color w:val="FFFFFF"/>
                <w:sz w:val="22"/>
                <w:szCs w:val="22"/>
              </w:rPr>
              <w:t xml:space="preserve">DiffSBDD (Nature Computational Science, 2024) — Key Limitations</w:t>
            </w:r>
          </w:p>
        </w:tc>
      </w:tr>
      <w:tr>
        <w:tc>
          <w:tcPr>
            <w:tcBorders>
              <w:top w:val="single" w:color="CCCCCC" w:sz="1"/>
              <w:left w:val="single" w:color="CCCCCC" w:sz="1"/>
              <w:bottom w:val="single" w:color="CCCCCC" w:sz="1"/>
              <w:right w:val="single" w:color="CCCCCC" w:sz="1"/>
            </w:tcBorders>
            <w:shd w:fill="D9E4F5" w:val="clear"/>
            <w:tcMar>
              <w:top w:type="dxa" w:w="120"/>
              <w:left w:type="dxa" w:w="160"/>
              <w:bottom w:type="dxa" w:w="120"/>
              <w:right w:type="dxa" w:w="160"/>
            </w:tcMar>
          </w:tcPr>
          <w:p>
            <w:pPr>
              <w:spacing w:after="60" w:before="0"/>
            </w:pPr>
            <w:r>
              <w:rPr>
                <w:rFonts w:ascii="Arial" w:cs="Arial" w:eastAsia="Arial" w:hAnsi="Arial"/>
                <w:b/>
                <w:bCs/>
                <w:sz w:val="20"/>
                <w:szCs w:val="20"/>
              </w:rPr>
              <w:t xml:space="preserve">Architecture:</w:t>
            </w:r>
            <w:r>
              <w:rPr>
                <w:rFonts w:ascii="Arial" w:cs="Arial" w:eastAsia="Arial" w:hAnsi="Arial"/>
                <w:sz w:val="20"/>
                <w:szCs w:val="20"/>
              </w:rPr>
              <w:t xml:space="preserve"> SE(3)-equivariant DDPM over 3D atomic point clouds, conditioned on protein pocket by appending pocket nodes to the ligand graph.</w:t>
            </w:r>
          </w:p>
          <w:p>
            <w:pPr>
              <w:spacing w:after="60" w:before="0"/>
            </w:pPr>
            <w:r>
              <w:rPr>
                <w:rFonts w:ascii="Arial" w:cs="Arial" w:eastAsia="Arial" w:hAnsi="Arial"/>
                <w:b/>
                <w:bCs/>
                <w:sz w:val="20"/>
                <w:szCs w:val="20"/>
              </w:rPr>
              <w:t xml:space="preserve">Limitation 1 — No affinity signal during training:</w:t>
            </w:r>
            <w:r>
              <w:rPr>
                <w:rFonts w:ascii="Arial" w:cs="Arial" w:eastAsia="Arial" w:hAnsi="Arial"/>
                <w:sz w:val="20"/>
                <w:szCs w:val="20"/>
              </w:rPr>
              <w:t xml:space="preserve"> DiffSBDD is trained purely with a generative reconstruction objective. Binding affinity is never used as a training signal. The model learns to reproduce the distribution of training ligands but has no mechanism to prefer high-affinity binders over weak ones.</w:t>
            </w:r>
          </w:p>
          <w:p>
            <w:pPr>
              <w:spacing w:after="60" w:before="0"/>
            </w:pPr>
            <w:r>
              <w:rPr>
                <w:rFonts w:ascii="Arial" w:cs="Arial" w:eastAsia="Arial" w:hAnsi="Arial"/>
                <w:b/>
                <w:bCs/>
                <w:sz w:val="20"/>
                <w:szCs w:val="20"/>
              </w:rPr>
              <w:t xml:space="preserve">Limitation 2 — RL loop is evolutionary, not gradient-based:</w:t>
            </w:r>
            <w:r>
              <w:rPr>
                <w:rFonts w:ascii="Arial" w:cs="Arial" w:eastAsia="Arial" w:hAnsi="Arial"/>
                <w:sz w:val="20"/>
                <w:szCs w:val="20"/>
              </w:rPr>
              <w:t xml:space="preserve"> The iterative property optimisation strategy in DiffSBDD applies noise and denoising to existing molecules and selects the best-scoring candidates. This is an evolutionary search heuristic with no gradient flowing from the reward back to model parameters. It is therefore slow to converge and cannot efficiently climb steep reward gradients.</w:t>
            </w:r>
          </w:p>
          <w:p>
            <w:pPr>
              <w:spacing w:after="60" w:before="0"/>
            </w:pPr>
            <w:r>
              <w:rPr>
                <w:rFonts w:ascii="Arial" w:cs="Arial" w:eastAsia="Arial" w:hAnsi="Arial"/>
                <w:b/>
                <w:bCs/>
                <w:sz w:val="20"/>
                <w:szCs w:val="20"/>
              </w:rPr>
              <w:t xml:space="preserve">Limitation 3 — DDPM requires 1000 inference steps:</w:t>
            </w:r>
            <w:r>
              <w:rPr>
                <w:rFonts w:ascii="Arial" w:cs="Arial" w:eastAsia="Arial" w:hAnsi="Arial"/>
                <w:sz w:val="20"/>
                <w:szCs w:val="20"/>
              </w:rPr>
              <w:t xml:space="preserve"> The Markov chain noise process requires a large number of denoising steps at inference, making sampling slow and log-likelihood computation along the denoising trajectory intractable — the latter being essential for policy gradient RL.</w:t>
            </w:r>
          </w:p>
          <w:p>
            <w:pPr>
              <w:spacing w:after="0" w:before="0"/>
            </w:pPr>
            <w:r>
              <w:rPr>
                <w:rFonts w:ascii="Arial" w:cs="Arial" w:eastAsia="Arial" w:hAnsi="Arial"/>
                <w:b/>
                <w:bCs/>
                <w:sz w:val="20"/>
                <w:szCs w:val="20"/>
              </w:rPr>
              <w:t xml:space="preserve">Limitation 4 — Weak pocket conditioning:</w:t>
            </w:r>
            <w:r>
              <w:rPr>
                <w:rFonts w:ascii="Arial" w:cs="Arial" w:eastAsia="Arial" w:hAnsi="Arial"/>
                <w:sz w:val="20"/>
                <w:szCs w:val="20"/>
              </w:rPr>
              <w:t xml:space="preserve"> Concatenating pocket atoms into the ligand graph means the pocket influences generation only through shared graph convolutions. There is no dedicated mechanism to ensure the pocket context remains actively attended to at every layer of the network.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E8C6E" w:val="clear"/>
            <w:tcMar>
              <w:top w:type="dxa" w:w="80"/>
              <w:left w:type="dxa" w:w="160"/>
              <w:bottom w:type="dxa" w:w="80"/>
              <w:right w:type="dxa" w:w="120"/>
            </w:tcMar>
          </w:tcPr>
          <w:p>
            <w:r>
              <w:rPr>
                <w:rFonts w:ascii="Arial" w:cs="Arial" w:eastAsia="Arial" w:hAnsi="Arial"/>
                <w:b/>
                <w:bCs/>
                <w:color w:val="FFFFFF"/>
                <w:sz w:val="22"/>
                <w:szCs w:val="22"/>
              </w:rPr>
              <w:t xml:space="preserve">TargetDiff (ICLR 2023) — Key Limitations</w:t>
            </w:r>
          </w:p>
        </w:tc>
      </w:tr>
      <w:tr>
        <w:tc>
          <w:tcPr>
            <w:tcBorders>
              <w:top w:val="single" w:color="CCCCCC" w:sz="1"/>
              <w:left w:val="single" w:color="CCCCCC" w:sz="1"/>
              <w:bottom w:val="single" w:color="CCCCCC" w:sz="1"/>
              <w:right w:val="single" w:color="CCCCCC" w:sz="1"/>
            </w:tcBorders>
            <w:shd w:fill="D4F0EA" w:val="clear"/>
            <w:tcMar>
              <w:top w:type="dxa" w:w="120"/>
              <w:left w:type="dxa" w:w="160"/>
              <w:bottom w:type="dxa" w:w="120"/>
              <w:right w:type="dxa" w:w="160"/>
            </w:tcMar>
          </w:tcPr>
          <w:p>
            <w:pPr>
              <w:spacing w:after="60" w:before="0"/>
            </w:pPr>
            <w:r>
              <w:rPr>
                <w:rFonts w:ascii="Arial" w:cs="Arial" w:eastAsia="Arial" w:hAnsi="Arial"/>
                <w:b/>
                <w:bCs/>
                <w:sz w:val="20"/>
                <w:szCs w:val="20"/>
              </w:rPr>
              <w:t xml:space="preserve">Architecture:</w:t>
            </w:r>
            <w:r>
              <w:rPr>
                <w:rFonts w:ascii="Arial" w:cs="Arial" w:eastAsia="Arial" w:hAnsi="Arial"/>
                <w:sz w:val="20"/>
                <w:szCs w:val="20"/>
              </w:rPr>
              <w:t xml:space="preserve"> SE(3)-equivariant DDPM with k-nearest-neighbour edges connecting ligand and pocket atoms, generating both atom coordinates and atom types jointly.</w:t>
            </w:r>
          </w:p>
          <w:p>
            <w:pPr>
              <w:spacing w:after="60" w:before="0"/>
            </w:pPr>
            <w:r>
              <w:rPr>
                <w:rFonts w:ascii="Arial" w:cs="Arial" w:eastAsia="Arial" w:hAnsi="Arial"/>
                <w:b/>
                <w:bCs/>
                <w:sz w:val="20"/>
                <w:szCs w:val="20"/>
              </w:rPr>
              <w:t xml:space="preserve">Limitation 1 — Affinity head is passive:</w:t>
            </w:r>
            <w:r>
              <w:rPr>
                <w:rFonts w:ascii="Arial" w:cs="Arial" w:eastAsia="Arial" w:hAnsi="Arial"/>
                <w:sz w:val="20"/>
                <w:szCs w:val="20"/>
              </w:rPr>
              <w:t xml:space="preserve"> TargetDiff introduces a binding affinity estimation head that pools the final hidden embeddings and predicts pK. This is a significant insight but the head is used only for post-hoc ranking of generated molecules, never to provide a gradient signal during generation. The generative model and the affinity predictor are disconnected.</w:t>
            </w:r>
          </w:p>
          <w:p>
            <w:pPr>
              <w:spacing w:after="60" w:before="0"/>
            </w:pPr>
            <w:r>
              <w:rPr>
                <w:rFonts w:ascii="Arial" w:cs="Arial" w:eastAsia="Arial" w:hAnsi="Arial"/>
                <w:b/>
                <w:bCs/>
                <w:sz w:val="20"/>
                <w:szCs w:val="20"/>
              </w:rPr>
              <w:t xml:space="preserve">Limitation 2 — Acknowledged weakness on QED and SA:</w:t>
            </w:r>
            <w:r>
              <w:rPr>
                <w:rFonts w:ascii="Arial" w:cs="Arial" w:eastAsia="Arial" w:hAnsi="Arial"/>
                <w:sz w:val="20"/>
                <w:szCs w:val="20"/>
              </w:rPr>
              <w:t xml:space="preserve"> The authors explicitly note that TargetDiff underperforms Pocket2Mol on drug-likeness (QED) and synthetic accessibility (SA) scores. Since these properties are not included in the training objective, the model has no incentive to optimise them.</w:t>
            </w:r>
          </w:p>
          <w:p>
            <w:pPr>
              <w:spacing w:after="60" w:before="0"/>
            </w:pPr>
            <w:r>
              <w:rPr>
                <w:rFonts w:ascii="Arial" w:cs="Arial" w:eastAsia="Arial" w:hAnsi="Arial"/>
                <w:b/>
                <w:bCs/>
                <w:sz w:val="20"/>
                <w:szCs w:val="20"/>
              </w:rPr>
              <w:t xml:space="preserve">Limitation 3 — DDPM and slow inference:</w:t>
            </w:r>
            <w:r>
              <w:rPr>
                <w:rFonts w:ascii="Arial" w:cs="Arial" w:eastAsia="Arial" w:hAnsi="Arial"/>
                <w:sz w:val="20"/>
                <w:szCs w:val="20"/>
              </w:rPr>
              <w:t xml:space="preserve"> Like DiffSBDD, TargetDiff requires 1000 denoising steps, taking approximately 3428 seconds to generate 100 molecules for a single target.</w:t>
            </w:r>
          </w:p>
          <w:p>
            <w:pPr>
              <w:spacing w:after="0" w:before="0"/>
            </w:pPr>
            <w:r>
              <w:rPr>
                <w:rFonts w:ascii="Arial" w:cs="Arial" w:eastAsia="Arial" w:hAnsi="Arial"/>
                <w:b/>
                <w:bCs/>
                <w:sz w:val="20"/>
                <w:szCs w:val="20"/>
              </w:rPr>
              <w:t xml:space="preserve">Limitation 4 — No RL or optimisation loop:</w:t>
            </w:r>
            <w:r>
              <w:rPr>
                <w:rFonts w:ascii="Arial" w:cs="Arial" w:eastAsia="Arial" w:hAnsi="Arial"/>
                <w:sz w:val="20"/>
                <w:szCs w:val="20"/>
              </w:rPr>
              <w:t xml:space="preserve"> TargetDiff performs pure de novo generation with no feedback loop. Generated molecules are evaluated but the evaluation results do not improve future generation.</w:t>
            </w:r>
          </w:p>
        </w:tc>
      </w:tr>
    </w:tbl>
    <w:p>
      <w:pPr>
        <w:spacing w:after="120" w:before="0"/>
      </w:pPr>
      <w:r>
        <w:t xml:space="preserve"/>
      </w:r>
    </w:p>
    <w:p>
      <w:pPr>
        <w:pStyle w:val="Heading2"/>
        <w:spacing w:after="120" w:before="280"/>
      </w:pPr>
      <w:r>
        <w:rPr>
          <w:rFonts w:ascii="Arial" w:cs="Arial" w:eastAsia="Arial" w:hAnsi="Arial"/>
          <w:b/>
          <w:bCs/>
          <w:color w:val="404040"/>
          <w:sz w:val="26"/>
          <w:szCs w:val="26"/>
        </w:rPr>
        <w:t xml:space="preserve">1.4 The Fundamental Gap</w:t>
      </w:r>
    </w:p>
    <w:p>
      <w:pPr>
        <w:spacing w:after="100" w:before="80"/>
      </w:pPr>
      <w:r>
        <w:rPr>
          <w:rFonts w:ascii="Arial" w:cs="Arial" w:eastAsia="Arial" w:hAnsi="Arial"/>
          <w:sz w:val="22"/>
          <w:szCs w:val="22"/>
        </w:rPr>
        <w:t xml:space="preserve">The core problem that unifies all existing limitations can be stated in one sentence: </w:t>
      </w:r>
      <w:r>
        <w:rPr>
          <w:rFonts w:ascii="Arial" w:cs="Arial" w:eastAsia="Arial" w:hAnsi="Arial"/>
          <w:b/>
          <w:bCs/>
          <w:i/>
          <w:iCs/>
          <w:sz w:val="22"/>
          <w:szCs w:val="22"/>
        </w:rPr>
        <w:t xml:space="preserve">current generative models for SBDD generate molecules and then evaluate them, but never generate molecules guided by evaluation.</w:t>
      </w:r>
    </w:p>
    <w:p>
      <w:pPr>
        <w:spacing w:after="60" w:before="0"/>
      </w:pPr>
      <w:r>
        <w:t xml:space="preserve"/>
      </w:r>
    </w:p>
    <w:p>
      <w:pPr>
        <w:spacing w:after="100" w:before="80"/>
      </w:pPr>
      <w:r>
        <w:rPr>
          <w:rFonts w:ascii="Arial" w:cs="Arial" w:eastAsia="Arial" w:hAnsi="Arial"/>
          <w:sz w:val="22"/>
          <w:szCs w:val="22"/>
        </w:rPr>
        <w:t xml:space="preserve">This distinction is profound. A generative model trained with a reconstruction loss learns to produce molecules that look like its training data. It has no mechanism to prefer molecules that are better binders, more drug-like, or more synthesisable than those in the training set — it can only hope that such molecules happen to appear in the learned distribution. Reinforcement learning closes this gap by allowing the model to receive reward signals from property evaluators and use those signals to directly improve generation.</w:t>
      </w:r>
    </w:p>
    <w:p>
      <w:pPr>
        <w:spacing w:after="60" w:before="0"/>
      </w:pPr>
      <w:r>
        <w:t xml:space="preserve"/>
      </w:r>
    </w:p>
    <w:p>
      <w:pPr>
        <w:spacing w:after="100" w:before="80"/>
      </w:pPr>
      <w:r>
        <w:rPr>
          <w:rFonts w:ascii="Arial" w:cs="Arial" w:eastAsia="Arial" w:hAnsi="Arial"/>
          <w:sz w:val="22"/>
          <w:szCs w:val="22"/>
        </w:rPr>
        <w:t xml:space="preserve">Additionally, a unified consistent affinity scale across the entire training dataset — which your dataset provides through uniform Vina scoring of all 64,759 pairs — is a prerequisite for reliable RL training that neither prior paper fully exploits.</w:t>
      </w:r>
    </w:p>
    <w:p>
      <w:pPr>
        <w:spacing w:after="80" w:before="0"/>
      </w:pPr>
      <w:r>
        <w:t xml:space="preserve"/>
      </w:r>
    </w:p>
    <w:p>
      <w:r>
        <w:br w:type="page"/>
      </w:r>
    </w:p>
    <w:p>
      <w:pPr>
        <w:pStyle w:val="Heading1"/>
        <w:pBdr>
          <w:bottom w:val="single" w:color="1B4FBF" w:sz="8" w:space="4"/>
        </w:pBdr>
        <w:spacing w:after="160" w:before="360"/>
      </w:pPr>
      <w:r>
        <w:rPr>
          <w:rFonts w:ascii="Arial" w:cs="Arial" w:eastAsia="Arial" w:hAnsi="Arial"/>
          <w:b/>
          <w:bCs/>
          <w:color w:val="1B4FBF"/>
          <w:sz w:val="32"/>
          <w:szCs w:val="32"/>
        </w:rPr>
        <w:t xml:space="preserve">2. Dataset Characterisation</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2.1 Composition</w:t>
      </w:r>
    </w:p>
    <w:p>
      <w:pPr>
        <w:spacing w:after="100" w:before="80"/>
      </w:pPr>
      <w:r>
        <w:rPr>
          <w:rFonts w:ascii="Arial" w:cs="Arial" w:eastAsia="Arial" w:hAnsi="Arial"/>
          <w:sz w:val="22"/>
          <w:szCs w:val="22"/>
        </w:rPr>
        <w:t xml:space="preserve">The dataset used in this project contains 64,759 pocket-ligand pairs derived from 13,275 unique proteins identified by their PDB accession codes. Every pair has been assigned a binding affinity score generated by AutoDock Vina, providing a fully consistent, single-scale affinity signal across the entire dataset. This uniformity is a deliberate and important design choice: by using Vina for all pairs rather than mixing experimental affinities with docked scores, the dataset avoids the calibration problems that arise from combining measurements made under different conditions and with different instruments.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00"/>
        <w:gridCol w:w="2060"/>
      </w:tblGrid>
      <w:tr>
        <w:tc>
          <w:tcPr>
            <w:tcBorders>
              <w:top w:val="single" w:color="CCCCCC" w:sz="1"/>
              <w:left w:val="single" w:color="CCCCCC" w:sz="1"/>
              <w:bottom w:val="single" w:color="CCCCCC" w:sz="1"/>
              <w:right w:val="single" w:color="CCCCCC" w:sz="1"/>
            </w:tcBorders>
            <w:shd w:fill="1B4FBF" w:val="clear"/>
            <w:tcMar>
              <w:top w:type="dxa" w:w="80"/>
              <w:left w:type="dxa" w:w="120"/>
              <w:bottom w:type="dxa" w:w="80"/>
              <w:right w:type="dxa" w:w="120"/>
            </w:tcMar>
          </w:tcPr>
          <w:p>
            <w:r>
              <w:rPr>
                <w:rFonts w:ascii="Arial" w:cs="Arial" w:eastAsia="Arial" w:hAnsi="Arial"/>
                <w:b/>
                <w:bCs/>
                <w:color w:val="FFFFFF"/>
                <w:sz w:val="20"/>
                <w:szCs w:val="20"/>
              </w:rPr>
              <w:t xml:space="preserve">Sub-dataset</w:t>
            </w:r>
          </w:p>
        </w:tc>
        <w:tc>
          <w:tcPr>
            <w:tcBorders>
              <w:top w:val="single" w:color="CCCCCC" w:sz="1"/>
              <w:left w:val="single" w:color="CCCCCC" w:sz="1"/>
              <w:bottom w:val="single" w:color="CCCCCC" w:sz="1"/>
              <w:right w:val="single" w:color="CCCCCC" w:sz="1"/>
            </w:tcBorders>
            <w:shd w:fill="1B4FBF" w:val="clear"/>
            <w:tcMar>
              <w:top w:type="dxa" w:w="80"/>
              <w:left w:type="dxa" w:w="120"/>
              <w:bottom w:type="dxa" w:w="80"/>
              <w:right w:type="dxa" w:w="120"/>
            </w:tcMar>
          </w:tcPr>
          <w:p>
            <w:r>
              <w:rPr>
                <w:rFonts w:ascii="Arial" w:cs="Arial" w:eastAsia="Arial" w:hAnsi="Arial"/>
                <w:b/>
                <w:bCs/>
                <w:color w:val="FFFFFF"/>
                <w:sz w:val="20"/>
                <w:szCs w:val="20"/>
              </w:rPr>
              <w:t xml:space="preserve">Pairs</w:t>
            </w:r>
          </w:p>
        </w:tc>
        <w:tc>
          <w:tcPr>
            <w:tcBorders>
              <w:top w:val="single" w:color="CCCCCC" w:sz="1"/>
              <w:left w:val="single" w:color="CCCCCC" w:sz="1"/>
              <w:bottom w:val="single" w:color="CCCCCC" w:sz="1"/>
              <w:right w:val="single" w:color="CCCCCC" w:sz="1"/>
            </w:tcBorders>
            <w:shd w:fill="1B4FBF" w:val="clear"/>
            <w:tcMar>
              <w:top w:type="dxa" w:w="80"/>
              <w:left w:type="dxa" w:w="120"/>
              <w:bottom w:type="dxa" w:w="80"/>
              <w:right w:type="dxa" w:w="120"/>
            </w:tcMar>
          </w:tcPr>
          <w:p>
            <w:r>
              <w:rPr>
                <w:rFonts w:ascii="Arial" w:cs="Arial" w:eastAsia="Arial" w:hAnsi="Arial"/>
                <w:b/>
                <w:bCs/>
                <w:color w:val="FFFFFF"/>
                <w:sz w:val="20"/>
                <w:szCs w:val="20"/>
              </w:rPr>
              <w:t xml:space="preserve">Pocket format</w:t>
            </w:r>
          </w:p>
        </w:tc>
        <w:tc>
          <w:tcPr>
            <w:tcBorders>
              <w:top w:val="single" w:color="CCCCCC" w:sz="1"/>
              <w:left w:val="single" w:color="CCCCCC" w:sz="1"/>
              <w:bottom w:val="single" w:color="CCCCCC" w:sz="1"/>
              <w:right w:val="single" w:color="CCCCCC" w:sz="1"/>
            </w:tcBorders>
            <w:shd w:fill="1B4FBF" w:val="clear"/>
            <w:tcMar>
              <w:top w:type="dxa" w:w="80"/>
              <w:left w:type="dxa" w:w="120"/>
              <w:bottom w:type="dxa" w:w="80"/>
              <w:right w:type="dxa" w:w="120"/>
            </w:tcMar>
          </w:tcPr>
          <w:p>
            <w:r>
              <w:rPr>
                <w:rFonts w:ascii="Arial" w:cs="Arial" w:eastAsia="Arial" w:hAnsi="Arial"/>
                <w:b/>
                <w:bCs/>
                <w:color w:val="FFFFFF"/>
                <w:sz w:val="20"/>
                <w:szCs w:val="20"/>
              </w:rPr>
              <w:t xml:space="preserve">Affinity range</w:t>
            </w:r>
          </w:p>
        </w:tc>
        <w:tc>
          <w:tcPr>
            <w:tcBorders>
              <w:top w:val="single" w:color="CCCCCC" w:sz="1"/>
              <w:left w:val="single" w:color="CCCCCC" w:sz="1"/>
              <w:bottom w:val="single" w:color="CCCCCC" w:sz="1"/>
              <w:right w:val="single" w:color="CCCCCC" w:sz="1"/>
            </w:tcBorders>
            <w:shd w:fill="1B4FB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CrossDocked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40,271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−22.8 → +106.0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Cross-docked poses; 83 artifacts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HiQBind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13,482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.pdb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−16.7 → +14.2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High-quality curated; 8 artifacts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PDBbind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−16.8 → −3.0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Cleanest subset; no positive values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scPDB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3,956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.mol2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−16.9 → −2.1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proteins; mol2 format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BF"/>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BF"/>
                <w:sz w:val="20"/>
                <w:szCs w:val="20"/>
              </w:rPr>
              <w:t xml:space="preserve">64,759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−22.8 → +106.0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−8.28, median −8.30 kcal/mol</w:t>
            </w:r>
          </w:p>
        </w:tc>
      </w:tr>
    </w:tbl>
    <w:p>
      <w:pPr>
        <w:spacing w:after="80" w:before="0"/>
      </w:pPr>
      <w:r>
        <w:t xml:space="preserve"/>
      </w:r>
    </w:p>
    <w:p>
      <w:pPr>
        <w:pStyle w:val="Heading2"/>
        <w:spacing w:after="120" w:before="280"/>
      </w:pPr>
      <w:r>
        <w:rPr>
          <w:rFonts w:ascii="Arial" w:cs="Arial" w:eastAsia="Arial" w:hAnsi="Arial"/>
          <w:b/>
          <w:bCs/>
          <w:color w:val="404040"/>
          <w:sz w:val="26"/>
          <w:szCs w:val="26"/>
        </w:rPr>
        <w:t xml:space="preserve">2.2 Affinity Distribution</w:t>
      </w:r>
    </w:p>
    <w:p>
      <w:pPr>
        <w:spacing w:after="100" w:before="80"/>
      </w:pPr>
      <w:r>
        <w:rPr>
          <w:rFonts w:ascii="Arial" w:cs="Arial" w:eastAsia="Arial" w:hAnsi="Arial"/>
          <w:sz w:val="22"/>
          <w:szCs w:val="22"/>
        </w:rPr>
        <w:t xml:space="preserve">The global affinity distribution is approximately Gaussian centred at −8.28 kcal/mol with a standard deviation of 2.31 kcal/mol. The bulk of pairs (63.7%) fall in the range −6 to −10 kcal/mol, which corresponds to moderate binders. Strong binders below −10 kcal/mol account for 21.4% of the dataset and represent the target region for RL optimisation. Only 93 pairs (0.14%) have positive affinity values, indicating failed Vina runs or degenerate poses; these are removed during preprocessing by clipping affinities to the range [−16, 0] kcal/mol.</w:t>
      </w:r>
    </w:p>
    <w:p>
      <w:pPr>
        <w:spacing w:after="60" w:before="0"/>
      </w:pPr>
      <w:r>
        <w:t xml:space="preserve"/>
      </w:r>
    </w:p>
    <w:p>
      <w:pPr>
        <w:spacing w:after="100" w:before="80"/>
      </w:pPr>
      <w:r>
        <w:rPr>
          <w:rFonts w:ascii="Arial" w:cs="Arial" w:eastAsia="Arial" w:hAnsi="Arial"/>
          <w:sz w:val="22"/>
          <w:szCs w:val="22"/>
        </w:rPr>
        <w:t xml:space="preserve">A particularly valuable structural property of the dataset is the intra-protein affinity spread: across the 10,383 proteins that have more than one pocket-ligand pair, the mean difference between the best and worst Vina score is 2.61 kcal/mol, and 1,680 proteins have a spread exceeding 5 kcal/mol. This within-protein variation enables contrastive training, where the model learns that for the same pocket, some ligands are substantially better binders than others — a relative ranking signal that provides richer supervision than absolute affinity values alone.</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2.3 Dataset Split Strategy</w:t>
      </w:r>
    </w:p>
    <w:p>
      <w:pPr>
        <w:spacing w:after="100" w:before="80"/>
      </w:pPr>
      <w:r>
        <w:rPr>
          <w:rFonts w:ascii="Arial" w:cs="Arial" w:eastAsia="Arial" w:hAnsi="Arial"/>
          <w:sz w:val="22"/>
          <w:szCs w:val="22"/>
        </w:rPr>
        <w:t xml:space="preserve">The dataset is split at the protein level rather than the pair level. This is mandatory because 59.4% of proteins appear in at least two of the four sub-datasets, meaning that a pair-level split would result in the same protein appearing in both training and validation sets, producing inflated and misleading performance metrics. The protein-level split ensures that no protein seen during training is evaluated at test time.</w:t>
      </w:r>
    </w:p>
    <w:p>
      <w:pPr>
        <w:spacing w:after="60" w:before="0"/>
      </w:pPr>
      <w:r>
        <w:t xml:space="preserve"/>
      </w:r>
    </w:p>
    <w:p>
      <w:pPr>
        <w:spacing w:after="100" w:before="80"/>
      </w:pPr>
      <w:r>
        <w:rPr>
          <w:rFonts w:ascii="Arial" w:cs="Arial" w:eastAsia="Arial" w:hAnsi="Arial"/>
          <w:sz w:val="22"/>
          <w:szCs w:val="22"/>
        </w:rPr>
        <w:t xml:space="preserve">The recommended split allocates 10,620 proteins (approximately 56,280 pairs) to training, 1,327 proteins (approximately 6,013 pairs) to validation, and 1,327 proteins (approximately 2,466 pairs) to the held-out test set. For RL fine-tuning, a subset of approximately 5,600 training pairs corresponding to the top decile of Vina affinities (stronger than −10.19 kcal/mol) is used as the curriculum starting point.</w:t>
      </w:r>
    </w:p>
    <w:p>
      <w:pPr>
        <w:spacing w:after="80" w:before="0"/>
      </w:pPr>
      <w:r>
        <w:t xml:space="preserve"/>
      </w:r>
    </w:p>
    <w:p>
      <w:r>
        <w:br w:type="page"/>
      </w:r>
    </w:p>
    <w:p>
      <w:pPr>
        <w:pStyle w:val="Heading1"/>
        <w:pBdr>
          <w:bottom w:val="single" w:color="1B4FBF" w:sz="8" w:space="4"/>
        </w:pBdr>
        <w:spacing w:after="160" w:before="360"/>
      </w:pPr>
      <w:r>
        <w:rPr>
          <w:rFonts w:ascii="Arial" w:cs="Arial" w:eastAsia="Arial" w:hAnsi="Arial"/>
          <w:b/>
          <w:bCs/>
          <w:color w:val="1B4FBF"/>
          <w:sz w:val="32"/>
          <w:szCs w:val="32"/>
        </w:rPr>
        <w:t xml:space="preserve">3. Proposed Architecture</w:t>
      </w:r>
    </w:p>
    <w:p>
      <w:pPr>
        <w:spacing w:after="60" w:before="0"/>
      </w:pPr>
      <w:r>
        <w:t xml:space="preserve"/>
      </w:r>
    </w:p>
    <w:p>
      <w:pPr>
        <w:spacing w:after="100" w:before="80"/>
      </w:pPr>
      <w:r>
        <w:rPr>
          <w:rFonts w:ascii="Arial" w:cs="Arial" w:eastAsia="Arial" w:hAnsi="Arial"/>
          <w:sz w:val="22"/>
          <w:szCs w:val="22"/>
        </w:rPr>
        <w:t xml:space="preserve">The proposed model is named RLFlow-SBDD. It is a single unified generative model that combines a flow matching backbone with SE(3)-equivariant graph neural networks, a dedicated pocket cross-attention mechanism, a jointly trained affinity value head, and a reinforcement learning fine-tuning loop based on Denoising Diffusion Policy Optimisation (DDPO). Each of these components is described in detail in the following subsections.</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3.1 Overall Design Philosophy</w:t>
      </w:r>
    </w:p>
    <w:p>
      <w:pPr>
        <w:spacing w:after="100" w:before="80"/>
      </w:pPr>
      <w:r>
        <w:rPr>
          <w:rFonts w:ascii="Arial" w:cs="Arial" w:eastAsia="Arial" w:hAnsi="Arial"/>
          <w:sz w:val="22"/>
          <w:szCs w:val="22"/>
        </w:rPr>
        <w:t xml:space="preserve">The architecture is guided by four principles derived directly from the limitations identified in Section 1.3.</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Affinity as a first-class citizen: </w:t>
      </w:r>
      <w:r>
        <w:rPr>
          <w:rFonts w:ascii="Arial" w:cs="Arial" w:eastAsia="Arial" w:hAnsi="Arial"/>
          <w:sz w:val="22"/>
          <w:szCs w:val="22"/>
        </w:rPr>
        <w:t xml:space="preserve">Binding affinity is not a post-hoc evaluation metric but a first-class training signal used in both the supervised pretraining phase and the reinforcement learning fine-tuning phase.</w:t>
      </w:r>
    </w:p>
    <w:p>
      <w:pPr>
        <w:pStyle w:val="ListParagraph"/>
        <w:numPr>
          <w:ilvl w:val="0"/>
          <w:numId w:val="2"/>
        </w:numPr>
        <w:spacing w:after="40" w:before="40"/>
      </w:pPr>
      <w:r>
        <w:rPr>
          <w:rFonts w:ascii="Arial" w:cs="Arial" w:eastAsia="Arial" w:hAnsi="Arial"/>
          <w:b/>
          <w:bCs/>
          <w:sz w:val="22"/>
          <w:szCs w:val="22"/>
        </w:rPr>
        <w:t xml:space="preserve">Tractable likelihood for RL: </w:t>
      </w:r>
      <w:r>
        <w:rPr>
          <w:rFonts w:ascii="Arial" w:cs="Arial" w:eastAsia="Arial" w:hAnsi="Arial"/>
          <w:sz w:val="22"/>
          <w:szCs w:val="22"/>
        </w:rPr>
        <w:t xml:space="preserve">The choice of generative backbone must make the log-likelihood log p(m | pocket) tractable, since this quantity appears in the policy gradient objective. This requirement rules out DDPM and motivates the use of flow matching.</w:t>
      </w:r>
    </w:p>
    <w:p>
      <w:pPr>
        <w:pStyle w:val="ListParagraph"/>
        <w:numPr>
          <w:ilvl w:val="0"/>
          <w:numId w:val="2"/>
        </w:numPr>
        <w:spacing w:after="40" w:before="40"/>
      </w:pPr>
      <w:r>
        <w:rPr>
          <w:rFonts w:ascii="Arial" w:cs="Arial" w:eastAsia="Arial" w:hAnsi="Arial"/>
          <w:b/>
          <w:bCs/>
          <w:sz w:val="22"/>
          <w:szCs w:val="22"/>
        </w:rPr>
        <w:t xml:space="preserve">Deep pocket integration: </w:t>
      </w:r>
      <w:r>
        <w:rPr>
          <w:rFonts w:ascii="Arial" w:cs="Arial" w:eastAsia="Arial" w:hAnsi="Arial"/>
          <w:sz w:val="22"/>
          <w:szCs w:val="22"/>
        </w:rPr>
        <w:t xml:space="preserve">The protein pocket must actively gate every step of ligand generation through a dedicated cross-attention mechanism, rather than being passively concatenated with ligand features.</w:t>
      </w:r>
    </w:p>
    <w:p>
      <w:pPr>
        <w:pStyle w:val="ListParagraph"/>
        <w:numPr>
          <w:ilvl w:val="0"/>
          <w:numId w:val="2"/>
        </w:numPr>
        <w:spacing w:after="40" w:before="40"/>
      </w:pPr>
      <w:r>
        <w:rPr>
          <w:rFonts w:ascii="Arial" w:cs="Arial" w:eastAsia="Arial" w:hAnsi="Arial"/>
          <w:b/>
          <w:bCs/>
          <w:sz w:val="22"/>
          <w:szCs w:val="22"/>
        </w:rPr>
        <w:t xml:space="preserve">Multi-objective reward: </w:t>
      </w:r>
      <w:r>
        <w:rPr>
          <w:rFonts w:ascii="Arial" w:cs="Arial" w:eastAsia="Arial" w:hAnsi="Arial"/>
          <w:sz w:val="22"/>
          <w:szCs w:val="22"/>
        </w:rPr>
        <w:t xml:space="preserve">The RL training signal must explicitly reward all properties that matter in real drug discovery: binding affinity, drug-likeness, synthetic accessibility, and physicochemical compliance. Optimising only one property inevitably degrades the others.</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3.2 Flow Matching Backbone</w:t>
      </w:r>
    </w:p>
    <w:p>
      <w:pPr>
        <w:spacing w:after="100" w:before="80"/>
      </w:pPr>
      <w:r>
        <w:rPr>
          <w:rFonts w:ascii="Arial" w:cs="Arial" w:eastAsia="Arial" w:hAnsi="Arial"/>
          <w:sz w:val="22"/>
          <w:szCs w:val="22"/>
        </w:rPr>
        <w:t xml:space="preserve">The generative backbone of RLFlow-SBDD is based on Rectified Flow Matching rather than Denoising Diffusion Probabilistic Models. This is the most consequential architectural decision in the proposal and deserves detailed justification.</w:t>
      </w:r>
    </w:p>
    <w:p>
      <w:pPr>
        <w:spacing w:after="60" w:before="0"/>
      </w:pPr>
      <w:r>
        <w:t xml:space="preserve"/>
      </w:r>
    </w:p>
    <w:p>
      <w:pPr>
        <w:pStyle w:val="Heading3"/>
        <w:spacing w:after="80" w:before="200"/>
      </w:pPr>
      <w:r>
        <w:rPr>
          <w:rFonts w:ascii="Arial" w:cs="Arial" w:eastAsia="Arial" w:hAnsi="Arial"/>
          <w:b/>
          <w:bCs/>
          <w:color w:val="7B5EA7"/>
          <w:sz w:val="22"/>
          <w:szCs w:val="22"/>
        </w:rPr>
        <w:t xml:space="preserve">3.2.1 Why Not DDPM</w:t>
      </w:r>
    </w:p>
    <w:p>
      <w:pPr>
        <w:spacing w:after="100" w:before="80"/>
      </w:pPr>
      <w:r>
        <w:rPr>
          <w:rFonts w:ascii="Arial" w:cs="Arial" w:eastAsia="Arial" w:hAnsi="Arial"/>
          <w:sz w:val="22"/>
          <w:szCs w:val="22"/>
        </w:rPr>
        <w:t xml:space="preserve">In a DDPM, the forward process adds Gaussian noise to data over T steps following a predefined variance schedule, producing a noisy latent z_T that is approximately standard Gaussian. The reverse process learns to denoise step by step. The probability paths traced by DDPM are curved in data space — the noisy intermediate states do not lie on a straight line between the data distribution and the noise distribution. This curvature has two negative consequences. First, it requires a large number of steps (typically 1000) to accurately traverse the curved path from noise to data, making both training and inference slow. Second, and critically for this project, computing the exact log-likelihood of a generated molecule under the DDPM model requires evaluating the likelihood along the entire curved reverse trajectory, which is computationally intractable without approximation.</w:t>
      </w:r>
    </w:p>
    <w:p>
      <w:pPr>
        <w:spacing w:after="60" w:before="0"/>
      </w:pPr>
      <w:r>
        <w:t xml:space="preserve"/>
      </w:r>
    </w:p>
    <w:p>
      <w:pPr>
        <w:pStyle w:val="Heading3"/>
        <w:spacing w:after="80" w:before="200"/>
      </w:pPr>
      <w:r>
        <w:rPr>
          <w:rFonts w:ascii="Arial" w:cs="Arial" w:eastAsia="Arial" w:hAnsi="Arial"/>
          <w:b/>
          <w:bCs/>
          <w:color w:val="7B5EA7"/>
          <w:sz w:val="22"/>
          <w:szCs w:val="22"/>
        </w:rPr>
        <w:t xml:space="preserve">3.2.2 Rectified Flow Matching</w:t>
      </w:r>
    </w:p>
    <w:p>
      <w:pPr>
        <w:spacing w:after="100" w:before="80"/>
      </w:pPr>
      <w:r>
        <w:rPr>
          <w:rFonts w:ascii="Arial" w:cs="Arial" w:eastAsia="Arial" w:hAnsi="Arial"/>
          <w:sz w:val="22"/>
          <w:szCs w:val="22"/>
        </w:rPr>
        <w:t xml:space="preserve">Flow Matching defines the forward process as a straight linear interpolation between data and noise: z_t = (1 - t) times z_data plus t times z_noise, where t ranges from 0 to 1. The neural network is trained to predict the constant velocity field u_t = z_noise minus z_data that would carry the data to the noise distribution along a straight path. The training loss is simply the mean squared error between the predicted velocity v_theta(z_t, t, pocket) and the target velocity u_t.</w:t>
      </w:r>
    </w:p>
    <w:p>
      <w:pPr>
        <w:spacing w:after="60" w:before="0"/>
      </w:pPr>
      <w:r>
        <w:t xml:space="preserve"/>
      </w:r>
    </w:p>
    <w:p>
      <w:pPr>
        <w:spacing w:after="100" w:before="80"/>
      </w:pPr>
      <w:r>
        <w:rPr>
          <w:rFonts w:ascii="Arial" w:cs="Arial" w:eastAsia="Arial" w:hAnsi="Arial"/>
          <w:sz w:val="22"/>
          <w:szCs w:val="22"/>
        </w:rPr>
        <w:t xml:space="preserve">The straight probability paths have three important consequences. First, fewer integration steps are needed to traverse from noise to data — 50 steps is sufficient for high-quality generation, compared to 1000 for DDPM, giving a twenty-fold speedup. Second, the log-likelihood of a generated molecule can be computed exactly by integrating the divergence of the velocity field along the straight ODE trajectory, via the instantaneous change-of-variables formula. This exact log-likelihood computation is the mathematical prerequisite for applying DDPO policy gradient in Section 3.5. Third, straight paths are more stable to train because the network does not need to learn to curve around the complex geometry of the data manifold.</w:t>
      </w:r>
    </w:p>
    <w:p>
      <w:pPr>
        <w:spacing w:after="60" w:before="0"/>
      </w:pPr>
      <w:r>
        <w:t xml:space="preserve"/>
      </w:r>
    </w:p>
    <w:p>
      <w:pPr>
        <w:spacing w:after="100" w:before="80"/>
      </w:pPr>
      <w:r>
        <w:rPr>
          <w:rFonts w:ascii="Arial" w:cs="Arial" w:eastAsia="Arial" w:hAnsi="Arial"/>
          <w:sz w:val="22"/>
          <w:szCs w:val="22"/>
        </w:rPr>
        <w:t xml:space="preserve">The affinity-weighted variant of flow matching used in pretraining assigns each training pair a weight proportional to the softmax of its normalised Vina affinity, so that high-affinity pairs contribute more to the learned velocity field. This biases the learned flow manifold toward the strong-binder region of molecular space from the very beginning of training, before the RL fine-tuning phase begins.</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3.3 SE(3)-Equivariant Graph Neural Network</w:t>
      </w:r>
    </w:p>
    <w:p>
      <w:pPr>
        <w:spacing w:after="100" w:before="80"/>
      </w:pPr>
      <w:r>
        <w:rPr>
          <w:rFonts w:ascii="Arial" w:cs="Arial" w:eastAsia="Arial" w:hAnsi="Arial"/>
          <w:sz w:val="22"/>
          <w:szCs w:val="22"/>
        </w:rPr>
        <w:t xml:space="preserve">The neural network backbone that parameterises the flow velocity field is a nine-layer SE(3)-equivariant graph neural network (EGNN) with hidden dimension 128 and 16 attention heads per layer. SE(3)-equivariance means that the model's output transforms predictably under any rotation or translation of the input: if the entire protein-ligand system is rotated, the generated ligand coordinates rotate correspondingly, and the likelihood is unchanged. This symmetry constraint is both physically correct and practically beneficial because it reduces the effective complexity of the learning problem — the model does not need to learn that a benzene ring is the same chemical object regardless of its orientation in space.</w:t>
      </w:r>
    </w:p>
    <w:p>
      <w:pPr>
        <w:spacing w:after="60" w:before="0"/>
      </w:pPr>
      <w:r>
        <w:t xml:space="preserve"/>
      </w:r>
    </w:p>
    <w:p>
      <w:pPr>
        <w:pStyle w:val="Heading3"/>
        <w:spacing w:after="80" w:before="200"/>
      </w:pPr>
      <w:r>
        <w:rPr>
          <w:rFonts w:ascii="Arial" w:cs="Arial" w:eastAsia="Arial" w:hAnsi="Arial"/>
          <w:b/>
          <w:bCs/>
          <w:color w:val="7B5EA7"/>
          <w:sz w:val="22"/>
          <w:szCs w:val="22"/>
        </w:rPr>
        <w:t xml:space="preserve">3.3.1 SE(3) versus E(3) Equivariance</w:t>
      </w:r>
    </w:p>
    <w:p>
      <w:pPr>
        <w:spacing w:after="100" w:before="80"/>
      </w:pPr>
      <w:r>
        <w:rPr>
          <w:rFonts w:ascii="Arial" w:cs="Arial" w:eastAsia="Arial" w:hAnsi="Arial"/>
          <w:sz w:val="22"/>
          <w:szCs w:val="22"/>
        </w:rPr>
        <w:t xml:space="preserve">The model is specifically SE(3)-equivariant rather than E(3)-equivariant. The difference is that SE(3) excludes reflections while E(3) includes them. This distinction matters for stereochemistry: the S and R enantiomers of a chiral drug molecule are mirror images of each other and can have completely different pharmacological effects. An E(3)-equivariant model cannot distinguish between them, treating both as equivalent. The SE(3) equivariance in RLFlow-SBDD is achieved by adding a cross-product term to the coordinate update equation that changes sign under reflection, making the model sensitive to chirality without sacrificing rotation and translation equivariance.</w:t>
      </w:r>
    </w:p>
    <w:p>
      <w:pPr>
        <w:spacing w:after="60" w:before="0"/>
      </w:pPr>
      <w:r>
        <w:t xml:space="preserve"/>
      </w:r>
    </w:p>
    <w:p>
      <w:pPr>
        <w:pStyle w:val="Heading3"/>
        <w:spacing w:after="80" w:before="200"/>
      </w:pPr>
      <w:r>
        <w:rPr>
          <w:rFonts w:ascii="Arial" w:cs="Arial" w:eastAsia="Arial" w:hAnsi="Arial"/>
          <w:b/>
          <w:bCs/>
          <w:color w:val="7B5EA7"/>
          <w:sz w:val="22"/>
          <w:szCs w:val="22"/>
        </w:rPr>
        <w:t xml:space="preserve">3.3.2 Per-Layer Update Equations</w:t>
      </w:r>
    </w:p>
    <w:p>
      <w:pPr>
        <w:spacing w:after="100" w:before="80"/>
      </w:pPr>
      <w:r>
        <w:rPr>
          <w:rFonts w:ascii="Arial" w:cs="Arial" w:eastAsia="Arial" w:hAnsi="Arial"/>
          <w:sz w:val="22"/>
          <w:szCs w:val="22"/>
        </w:rPr>
        <w:t xml:space="preserve">At each EGNN layer, the update proceeds in three stages. In the first stage, each ligand atom attends to all pocket atoms through a cross-attention mechanism, computing a context vector c_i as the attention-weighted sum of pocket atom embeddings. This context vector is added to the ligand atom's hidden state through a layer normalisation operation, ensuring that the pocket information remains actively integrated at every layer. In the second stage, equivariant message passing between all pairs of atoms within the graph updates both the scalar hidden embeddings and the three-dimensional coordinates. Edges are constructed as a k-nearest-neighbour graph with k equal to 32, using distance-based radial basis function edge features and bond-type indicators for protein-protein, ligand-ligand, and protein-ligand connections. In the third stage, the coordinate update includes both the standard EGNN equivariant term and the cross-product reflection-sensitivity term, ensuring SE(3) rather than E(3) equivariance. Pocket atom coordinates are never updated, preserving the fixed three-dimensional structure of the binding site throughout generation.</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3.4 Pocket Encoder and Cross-Attention Mechanism</w:t>
      </w:r>
    </w:p>
    <w:p>
      <w:pPr>
        <w:spacing w:after="100" w:before="80"/>
      </w:pPr>
      <w:r>
        <w:rPr>
          <w:rFonts w:ascii="Arial" w:cs="Arial" w:eastAsia="Arial" w:hAnsi="Arial"/>
          <w:sz w:val="22"/>
          <w:szCs w:val="22"/>
        </w:rPr>
        <w:t xml:space="preserve">A dedicated pocket encoder processes the protein binding pocket separately before it is used to condition the ligand generation. The encoder is a four-layer EGNN that takes as input all pocket atoms within 8 Angstroms of any ligand atom in the training complex. Each atom is represented by a feature vector encoding its chemical element as a 15-dimensional one-hot vector, its amino acid type as a 20-dimensional one-hot vector with an additional unknown category, a binary flag distinguishing backbone from sidechain atoms, an estimated partial charge, and binary indicators for hydrogen bond donor and acceptor status. At the residue level, secondary structure assignment, solvent-accessible surface area, distance from the pocket centroid, hydrophobicity index, and crystallographic B-factor are incorporated as additional node features.</w:t>
      </w:r>
    </w:p>
    <w:p>
      <w:pPr>
        <w:spacing w:after="60" w:before="0"/>
      </w:pPr>
      <w:r>
        <w:t xml:space="preserve"/>
      </w:r>
    </w:p>
    <w:p>
      <w:pPr>
        <w:spacing w:after="100" w:before="80"/>
      </w:pPr>
      <w:r>
        <w:rPr>
          <w:rFonts w:ascii="Arial" w:cs="Arial" w:eastAsia="Arial" w:hAnsi="Arial"/>
          <w:sz w:val="22"/>
          <w:szCs w:val="22"/>
        </w:rPr>
        <w:t xml:space="preserve">The encoder produces per-atom embeddings h_P of dimension 128 for every pocket atom. These embeddings serve as the key and value matrices in the cross-attention mechanism that gates every layer of the main EGNN. The cross-attention allows each ligand atom to selectively attend to the pocket atoms most relevant to its chemical context at each stage of the denoising process, rather than receiving a fixed global pocket summary. This is a qualitative improvement over both DiffSBDD, which simply concatenates pocket node features into the ligand graph, and TargetDiff, which uses k-NN edges between pocket and ligand atoms without a dedicated cross-attention mechanism.</w:t>
      </w:r>
    </w:p>
    <w:p>
      <w:pPr>
        <w:spacing w:after="60" w:before="0"/>
      </w:pPr>
      <w:r>
        <w:t xml:space="preserve"/>
      </w:r>
    </w:p>
    <w:p>
      <w:pPr>
        <w:spacing w:after="100" w:before="80"/>
      </w:pPr>
      <w:r>
        <w:rPr>
          <w:rFonts w:ascii="Arial" w:cs="Arial" w:eastAsia="Arial" w:hAnsi="Arial"/>
          <w:sz w:val="22"/>
          <w:szCs w:val="22"/>
        </w:rPr>
        <w:t xml:space="preserve">The scPDB subset provides pocket structures in mol2 format rather than PDB format. These are parsed using RDKit and their atom types are mapped to the same 15-dimensional one-hot encoding used for PDB-format pockets, ensuring a uniform featurisation across all four sub-datasets.</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3.5 Affinity Value Head</w:t>
      </w:r>
    </w:p>
    <w:p>
      <w:pPr>
        <w:spacing w:after="100" w:before="80"/>
      </w:pPr>
      <w:r>
        <w:rPr>
          <w:rFonts w:ascii="Arial" w:cs="Arial" w:eastAsia="Arial" w:hAnsi="Arial"/>
          <w:sz w:val="22"/>
          <w:szCs w:val="22"/>
        </w:rPr>
        <w:t xml:space="preserve">In addition to the flow velocity prediction head, the model includes a binding affinity value head that serves as a differentiable proxy reward during RL training. This head takes as input the mean-pooled final hidden embeddings of all ligand atoms after the last EGNN layer and passes them through a two-layer MLP to produce a scalar predicted affinity in kcal/mol. The value head is trained jointly with the generative objective during pretraining, using a mean-squared-error loss against the Vina affinities of training pairs weighted by lambda equal to 0.1 relative to the flow matching loss.</w:t>
      </w:r>
    </w:p>
    <w:p>
      <w:pPr>
        <w:spacing w:after="60" w:before="0"/>
      </w:pPr>
      <w:r>
        <w:t xml:space="preserve"/>
      </w:r>
    </w:p>
    <w:p>
      <w:pPr>
        <w:spacing w:after="100" w:before="80"/>
      </w:pPr>
      <w:r>
        <w:rPr>
          <w:rFonts w:ascii="Arial" w:cs="Arial" w:eastAsia="Arial" w:hAnsi="Arial"/>
          <w:sz w:val="22"/>
          <w:szCs w:val="22"/>
        </w:rPr>
        <w:t xml:space="preserve">The insight motivating this component comes from TargetDiff, which demonstrated that the hidden embeddings of a generative model trained on protein-ligand pairs encode substantial information about binding affinity. The key difference in this work is that the value head is not merely a passive estimator used for post-hoc ranking: during RL fine-tuning it serves as the dense reward proxy that provides a gradient signal at every RL step, with the expensive Vina oracle called only every ten rounds for calibration. This two-level reward strategy makes RL training computationally feasible without sacrificing the ground-truth quality of the reward signal.</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3.6 Reinforcement Learning Fine-Tuning</w:t>
      </w:r>
    </w:p>
    <w:p>
      <w:pPr>
        <w:spacing w:after="100" w:before="80"/>
      </w:pPr>
      <w:r>
        <w:rPr>
          <w:rFonts w:ascii="Arial" w:cs="Arial" w:eastAsia="Arial" w:hAnsi="Arial"/>
          <w:sz w:val="22"/>
          <w:szCs w:val="22"/>
        </w:rPr>
        <w:t xml:space="preserve">The reinforcement learning component is the central novelty of RLFlow-SBDD and the primary source of its expected advantage over both DiffSBDD and TargetDiff. It is implemented using Denoising Diffusion Policy Optimisation (DDPO), a policy gradient method that treats the full reverse flow trajectory as a multi-step Markov decision process.</w:t>
      </w:r>
    </w:p>
    <w:p>
      <w:pPr>
        <w:spacing w:after="60" w:before="0"/>
      </w:pPr>
      <w:r>
        <w:t xml:space="preserve"/>
      </w:r>
    </w:p>
    <w:p>
      <w:pPr>
        <w:pStyle w:val="Heading3"/>
        <w:spacing w:after="80" w:before="200"/>
      </w:pPr>
      <w:r>
        <w:rPr>
          <w:rFonts w:ascii="Arial" w:cs="Arial" w:eastAsia="Arial" w:hAnsi="Arial"/>
          <w:b/>
          <w:bCs/>
          <w:color w:val="7B5EA7"/>
          <w:sz w:val="22"/>
          <w:szCs w:val="22"/>
        </w:rPr>
        <w:t xml:space="preserve">3.6.1 DDPO Formulation</w:t>
      </w:r>
    </w:p>
    <w:p>
      <w:pPr>
        <w:spacing w:after="100" w:before="80"/>
      </w:pPr>
      <w:r>
        <w:rPr>
          <w:rFonts w:ascii="Arial" w:cs="Arial" w:eastAsia="Arial" w:hAnsi="Arial"/>
          <w:sz w:val="22"/>
          <w:szCs w:val="22"/>
        </w:rPr>
        <w:t xml:space="preserve">In the DDPO framework, the state at time t is the partially denoised molecule z_t together with the protein pocket embedding. The action at each step is the velocity prediction v_theta times the step size, which moves the state toward the data manifold. A scalar reward R(m, pocket) is received at the end of the trajectory when t equals 1 and the final molecule m has been decoded from the point cloud. The policy gradient objective is the expected reward over all generated molecules, regularised by a KL divergence term that penalises the fine-tuned model for deviating too far from the pretrained model: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E6F5" w:val="clear"/>
            <w:tcMar>
              <w:top w:type="dxa" w:w="120"/>
              <w:left w:type="dxa" w:w="200"/>
              <w:bottom w:type="dxa" w:w="120"/>
              <w:right w:type="dxa" w:w="200"/>
            </w:tcMar>
          </w:tcPr>
          <w:p>
            <w:pPr>
              <w:spacing w:after="60" w:before="0"/>
            </w:pPr>
            <w:r>
              <w:rPr>
                <w:rFonts w:ascii="Courier New" w:cs="Courier New" w:eastAsia="Courier New" w:hAnsi="Courier New"/>
                <w:b/>
                <w:bCs/>
                <w:color w:val="7B5EA7"/>
                <w:sz w:val="20"/>
                <w:szCs w:val="20"/>
              </w:rPr>
              <w:t xml:space="preserve">J(theta) = E_{m ~ p_theta}[ R(m, pocket) ] - beta * KL( p_theta || p_{theta_0} )</w:t>
            </w:r>
          </w:p>
          <w:p>
            <w:pPr>
              <w:spacing w:after="60" w:before="0"/>
            </w:pPr>
            <w:r>
              <w:rPr>
                <w:rFonts w:ascii="Courier New" w:cs="Courier New" w:eastAsia="Courier New" w:hAnsi="Courier New"/>
                <w:color w:val="404040"/>
                <w:sz w:val="20"/>
                <w:szCs w:val="20"/>
              </w:rPr>
              <w:t xml:space="preserve">Gradient: del_theta J = E[ sum_t del_theta log p_theta(z_{t+1} | z_t, pocket) * R(m, pocket) ]</w:t>
            </w:r>
          </w:p>
          <w:p>
            <w:pPr>
              <w:spacing w:after="0" w:before="0"/>
            </w:pPr>
            <w:r>
              <w:rPr>
                <w:rFonts w:ascii="Arial" w:cs="Arial" w:eastAsia="Arial" w:hAnsi="Arial"/>
                <w:i/>
                <w:iCs/>
                <w:color w:val="404040"/>
                <w:sz w:val="20"/>
                <w:szCs w:val="20"/>
              </w:rPr>
              <w:t xml:space="preserve">where beta is annealed from 0.01 to 0.001 over the RL training phase using cosine annealing</w:t>
            </w:r>
          </w:p>
        </w:tc>
      </w:tr>
    </w:tbl>
    <w:p>
      <w:pPr>
        <w:spacing w:after="60" w:before="0"/>
      </w:pPr>
      <w:r>
        <w:t xml:space="preserve"/>
      </w:r>
    </w:p>
    <w:p>
      <w:pPr>
        <w:spacing w:after="100" w:before="80"/>
      </w:pPr>
      <w:r>
        <w:rPr>
          <w:rFonts w:ascii="Arial" w:cs="Arial" w:eastAsia="Arial" w:hAnsi="Arial"/>
          <w:sz w:val="22"/>
          <w:szCs w:val="22"/>
        </w:rPr>
        <w:t xml:space="preserve">The exact log-likelihood log p_theta(z_{t+1} | z_t, pocket) is available because of the flow matching backbone, which defines probability paths as solutions to an ordinary differential equation whose log-density change can be computed via the instantaneous change-of-variables formula. This is the key mathematical reason why flow matching is chosen over DDPM for this application.</w:t>
      </w:r>
    </w:p>
    <w:p>
      <w:pPr>
        <w:spacing w:after="60" w:before="0"/>
      </w:pPr>
      <w:r>
        <w:t xml:space="preserve"/>
      </w:r>
    </w:p>
    <w:p>
      <w:pPr>
        <w:pStyle w:val="Heading3"/>
        <w:spacing w:after="80" w:before="200"/>
      </w:pPr>
      <w:r>
        <w:rPr>
          <w:rFonts w:ascii="Arial" w:cs="Arial" w:eastAsia="Arial" w:hAnsi="Arial"/>
          <w:b/>
          <w:bCs/>
          <w:color w:val="7B5EA7"/>
          <w:sz w:val="22"/>
          <w:szCs w:val="22"/>
        </w:rPr>
        <w:t xml:space="preserve">3.6.2 Multi-Objective Reward</w:t>
      </w:r>
    </w:p>
    <w:p>
      <w:pPr>
        <w:spacing w:after="100" w:before="80"/>
      </w:pPr>
      <w:r>
        <w:rPr>
          <w:rFonts w:ascii="Arial" w:cs="Arial" w:eastAsia="Arial" w:hAnsi="Arial"/>
          <w:sz w:val="22"/>
          <w:szCs w:val="22"/>
        </w:rPr>
        <w:t xml:space="preserve">The reward function R(m, pocket) is a weighted linear combination of five components: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2560"/>
        <w:gridCol w:w="4600"/>
      </w:tblGrid>
      <w:tr>
        <w:tc>
          <w:tcPr>
            <w:tcBorders>
              <w:top w:val="single" w:color="CCCCCC" w:sz="1"/>
              <w:left w:val="single" w:color="CCCCCC" w:sz="1"/>
              <w:bottom w:val="single" w:color="CCCCCC" w:sz="1"/>
              <w:right w:val="single" w:color="CCCCCC" w:sz="1"/>
            </w:tcBorders>
            <w:shd w:fill="1B4FB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B4FB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Borders>
              <w:top w:val="single" w:color="CCCCCC" w:sz="1"/>
              <w:left w:val="single" w:color="CCCCCC" w:sz="1"/>
              <w:bottom w:val="single" w:color="CCCCCC" w:sz="1"/>
              <w:right w:val="single" w:color="CCCCCC" w:sz="1"/>
            </w:tcBorders>
            <w:shd w:fill="1B4FBF"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c>
          <w:tcPr>
            <w:tcBorders>
              <w:top w:val="single" w:color="CCCCCC" w:sz="1"/>
              <w:left w:val="single" w:color="CCCCCC" w:sz="1"/>
              <w:bottom w:val="single" w:color="CCCCCC" w:sz="1"/>
              <w:right w:val="single" w:color="CCCCCC" w:sz="1"/>
            </w:tcBorders>
            <w:shd w:fill="1B4FB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Vina docking (r_vina)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Normalised: |vina| / 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ground-truth signal; run every 10 RL rounds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Drug-likeness (r_qed)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0.20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RDKit QED in [0, 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Ensures drug-like properties not sacrificed for affinity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Synthesizability (r_sa)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minus SA score divided by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Penalises exotic ring systems and complex scaffolds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Lipinski compliance (r_lip)</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0 or 1 per rule, averaged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 physicochemical constraints for oral bioavailability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Affinity proxy (r_proxy)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 head pK prediction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Dense differentiable reward available every RL step</w:t>
            </w:r>
          </w:p>
        </w:tc>
      </w:tr>
    </w:tbl>
    <w:p>
      <w:pPr>
        <w:spacing w:after="60" w:before="0"/>
      </w:pPr>
      <w:r>
        <w:t xml:space="preserve"/>
      </w:r>
    </w:p>
    <w:p>
      <w:pPr>
        <w:spacing w:after="100" w:before="80"/>
      </w:pPr>
      <w:r>
        <w:rPr>
          <w:rFonts w:ascii="Arial" w:cs="Arial" w:eastAsia="Arial" w:hAnsi="Arial"/>
          <w:sz w:val="22"/>
          <w:szCs w:val="22"/>
        </w:rPr>
        <w:t xml:space="preserve">The Vina reward carries the highest weight because it is the most direct measure of binding quality. Drug-likeness and synthesizability are included with substantial weights specifically to address the known weakness of TargetDiff on these metrics. The Lipinski compliance term acts as a soft constraint that penalises molecules violating basic oral bioavailability rules. The affinity proxy term ensures that every RL gradient step receives signal even in rounds where Vina is not called.</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3.7 RL Training Loop and Curriculum</w:t>
      </w:r>
    </w:p>
    <w:p>
      <w:pPr>
        <w:spacing w:after="100" w:before="80"/>
      </w:pPr>
      <w:r>
        <w:rPr>
          <w:rFonts w:ascii="Arial" w:cs="Arial" w:eastAsia="Arial" w:hAnsi="Arial"/>
          <w:sz w:val="22"/>
          <w:szCs w:val="22"/>
        </w:rPr>
        <w:t xml:space="preserve">The RL fine-tuning loop operates as follows. At each round, a batch of 32 protein pockets is sampled from the RL training subset. For each pocket, 100 candidate molecules are generated using 50-step flow integration with gradient tracking disabled to save memory. These candidates are scored by the reward oracle — the affinity value head is called for every molecule in every round, while Vina is called for all molecules every ten rounds. The top ten molecules by reward score are selected as the seed population for the next round. The DDPO policy gradient is then computed by re-running the flow for the seed molecules with gradient tracking enabled, computing the reward-weighted sum of log-action probabilities, adding the KL penalty, and backpropagating through the entire network.</w:t>
      </w:r>
    </w:p>
    <w:p>
      <w:pPr>
        <w:spacing w:after="60" w:before="0"/>
      </w:pPr>
      <w:r>
        <w:t xml:space="preserve"/>
      </w:r>
    </w:p>
    <w:p>
      <w:pPr>
        <w:spacing w:after="100" w:before="80"/>
      </w:pPr>
      <w:r>
        <w:rPr>
          <w:rFonts w:ascii="Arial" w:cs="Arial" w:eastAsia="Arial" w:hAnsi="Arial"/>
          <w:sz w:val="22"/>
          <w:szCs w:val="22"/>
        </w:rPr>
        <w:t xml:space="preserve">The curriculum introduces progressively harder protein targets over the course of RL training. Pockets are initially sampled from the easiest decile, defined as those with the weakest known Vina affinities among training ligands, meaning the model faces targets for which even moderate binders are rewarded. Every 500 RL rounds, the curriculum advances to include harder pockets with stronger reference affinities, eventually including pockets where the reference ligand already achieves affinities below −12 kcal/mol. This progressive difficulty schedule prevents the model from overspecialising on easy targets early in training and ensures it develops the capacity to generate potent binders for challenging pockets.</w:t>
      </w:r>
    </w:p>
    <w:p>
      <w:pPr>
        <w:spacing w:after="80" w:before="0"/>
      </w:pPr>
      <w:r>
        <w:t xml:space="preserve"/>
      </w:r>
    </w:p>
    <w:p>
      <w:pPr>
        <w:pStyle w:val="Heading2"/>
        <w:spacing w:after="120" w:before="280"/>
      </w:pPr>
      <w:r>
        <w:rPr>
          <w:rFonts w:ascii="Arial" w:cs="Arial" w:eastAsia="Arial" w:hAnsi="Arial"/>
          <w:b/>
          <w:bCs/>
          <w:color w:val="404040"/>
          <w:sz w:val="26"/>
          <w:szCs w:val="26"/>
        </w:rPr>
        <w:t xml:space="preserve">3.8 Inference and Design Modes</w:t>
      </w:r>
    </w:p>
    <w:p>
      <w:pPr>
        <w:spacing w:after="100" w:before="80"/>
      </w:pPr>
      <w:r>
        <w:rPr>
          <w:rFonts w:ascii="Arial" w:cs="Arial" w:eastAsia="Arial" w:hAnsi="Arial"/>
          <w:sz w:val="22"/>
          <w:szCs w:val="22"/>
        </w:rPr>
        <w:t xml:space="preserve">The trained RLFlow-SBDD model supports four distinct molecular design modes, all from a single model checkpoint without any task-specific retraining. This flexibility is a key practical advantage of the architecture.</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De novo generation: </w:t>
      </w:r>
      <w:r>
        <w:rPr>
          <w:rFonts w:ascii="Arial" w:cs="Arial" w:eastAsia="Arial" w:hAnsi="Arial"/>
          <w:sz w:val="22"/>
          <w:szCs w:val="22"/>
        </w:rPr>
        <w:t xml:space="preserve">Given only a pocket structure, sample the number of ligand atoms from a pocket-size-conditioned prior distribution, initialise from Gaussian noise, and run 50 steps of reverse flow integration. Post-process the resulting point cloud with OpenBabel to assign covalent bonds and RDKit to sanitise the molecular graph.</w:t>
      </w:r>
    </w:p>
    <w:p>
      <w:pPr>
        <w:pStyle w:val="ListParagraph"/>
        <w:numPr>
          <w:ilvl w:val="0"/>
          <w:numId w:val="2"/>
        </w:numPr>
        <w:spacing w:after="40" w:before="40"/>
      </w:pPr>
      <w:r>
        <w:rPr>
          <w:rFonts w:ascii="Arial" w:cs="Arial" w:eastAsia="Arial" w:hAnsi="Arial"/>
          <w:b/>
          <w:bCs/>
          <w:sz w:val="22"/>
          <w:szCs w:val="22"/>
        </w:rPr>
        <w:t xml:space="preserve">Molecular inpainting: </w:t>
      </w:r>
      <w:r>
        <w:rPr>
          <w:rFonts w:ascii="Arial" w:cs="Arial" w:eastAsia="Arial" w:hAnsi="Arial"/>
          <w:sz w:val="22"/>
          <w:szCs w:val="22"/>
        </w:rPr>
        <w:t xml:space="preserve">Given a pocket and a fixed molecular substructure such as a fragment or scaffold, apply a binary mask over the fixed atoms and run the replacement method to generate new atoms conditioned on both the pocket and the fixed substructure. Ten resamplings per denoising step are performed to ensure the generated region harmonises with the fixed region.</w:t>
      </w:r>
    </w:p>
    <w:p>
      <w:pPr>
        <w:pStyle w:val="ListParagraph"/>
        <w:numPr>
          <w:ilvl w:val="0"/>
          <w:numId w:val="2"/>
        </w:numPr>
        <w:spacing w:after="40" w:before="40"/>
      </w:pPr>
      <w:r>
        <w:rPr>
          <w:rFonts w:ascii="Arial" w:cs="Arial" w:eastAsia="Arial" w:hAnsi="Arial"/>
          <w:b/>
          <w:bCs/>
          <w:sz w:val="22"/>
          <w:szCs w:val="22"/>
        </w:rPr>
        <w:t xml:space="preserve">Scaffold hopping: </w:t>
      </w:r>
      <w:r>
        <w:rPr>
          <w:rFonts w:ascii="Arial" w:cs="Arial" w:eastAsia="Arial" w:hAnsi="Arial"/>
          <w:sz w:val="22"/>
          <w:szCs w:val="22"/>
        </w:rPr>
        <w:t xml:space="preserve">Fix the functional groups of a known ligand and redesign the scaffold topology. This is the inverse of inpainting — the mask selects functional group atoms as fixed and allows the scaffold to vary freely.</w:t>
      </w:r>
    </w:p>
    <w:p>
      <w:pPr>
        <w:pStyle w:val="ListParagraph"/>
        <w:numPr>
          <w:ilvl w:val="0"/>
          <w:numId w:val="2"/>
        </w:numPr>
        <w:spacing w:after="40" w:before="40"/>
      </w:pPr>
      <w:r>
        <w:rPr>
          <w:rFonts w:ascii="Arial" w:cs="Arial" w:eastAsia="Arial" w:hAnsi="Arial"/>
          <w:b/>
          <w:bCs/>
          <w:sz w:val="22"/>
          <w:szCs w:val="22"/>
        </w:rPr>
        <w:t xml:space="preserve">Fragment growing: </w:t>
      </w:r>
      <w:r>
        <w:rPr>
          <w:rFonts w:ascii="Arial" w:cs="Arial" w:eastAsia="Arial" w:hAnsi="Arial"/>
          <w:sz w:val="22"/>
          <w:szCs w:val="22"/>
        </w:rPr>
        <w:t xml:space="preserve">Fix a central molecular fragment and generate additional atoms around it within the pocket volume, growing the molecule outward from the fixed core.</w:t>
      </w:r>
    </w:p>
    <w:p>
      <w:pPr>
        <w:spacing w:after="80" w:before="0"/>
      </w:pPr>
      <w:r>
        <w:t xml:space="preserve"/>
      </w:r>
    </w:p>
    <w:p>
      <w:r>
        <w:br w:type="page"/>
      </w:r>
    </w:p>
    <w:p>
      <w:pPr>
        <w:pStyle w:val="Heading1"/>
        <w:pBdr>
          <w:bottom w:val="single" w:color="1B4FBF" w:sz="8" w:space="4"/>
        </w:pBdr>
        <w:spacing w:after="160" w:before="360"/>
      </w:pPr>
      <w:r>
        <w:rPr>
          <w:rFonts w:ascii="Arial" w:cs="Arial" w:eastAsia="Arial" w:hAnsi="Arial"/>
          <w:b/>
          <w:bCs/>
          <w:color w:val="1B4FBF"/>
          <w:sz w:val="32"/>
          <w:szCs w:val="32"/>
        </w:rPr>
        <w:t xml:space="preserve">4. Comparative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Dimension</w:t>
            </w:r>
          </w:p>
        </w:tc>
        <w:tc>
          <w:tcPr>
            <w:tcBorders>
              <w:top w:val="single" w:color="CCCCCC" w:sz="1"/>
              <w:left w:val="single" w:color="CCCCCC" w:sz="1"/>
              <w:bottom w:val="single" w:color="CCCCCC" w:sz="1"/>
              <w:right w:val="single" w:color="CCCCCC" w:sz="1"/>
            </w:tcBorders>
            <w:shd w:fill="D9E4F5" w:val="clear"/>
            <w:tcMar>
              <w:top w:type="dxa" w:w="80"/>
              <w:left w:type="dxa" w:w="120"/>
              <w:bottom w:type="dxa" w:w="80"/>
              <w:right w:type="dxa" w:w="120"/>
            </w:tcMar>
          </w:tcPr>
          <w:p>
            <w:r>
              <w:rPr>
                <w:rFonts w:ascii="Arial" w:cs="Arial" w:eastAsia="Arial" w:hAnsi="Arial"/>
                <w:b/>
                <w:bCs/>
                <w:color w:val="000000"/>
                <w:sz w:val="20"/>
                <w:szCs w:val="20"/>
              </w:rPr>
              <w:t xml:space="preserve">DiffSBDD (2024)</w:t>
            </w:r>
          </w:p>
        </w:tc>
        <w:tc>
          <w:tcPr>
            <w:tcBorders>
              <w:top w:val="single" w:color="CCCCCC" w:sz="1"/>
              <w:left w:val="single" w:color="CCCCCC" w:sz="1"/>
              <w:bottom w:val="single" w:color="CCCCCC" w:sz="1"/>
              <w:right w:val="single" w:color="CCCCCC" w:sz="1"/>
            </w:tcBorders>
            <w:shd w:fill="D4F0EA" w:val="clear"/>
            <w:tcMar>
              <w:top w:type="dxa" w:w="80"/>
              <w:left w:type="dxa" w:w="120"/>
              <w:bottom w:type="dxa" w:w="80"/>
              <w:right w:type="dxa" w:w="120"/>
            </w:tcMar>
          </w:tcPr>
          <w:p>
            <w:r>
              <w:rPr>
                <w:rFonts w:ascii="Arial" w:cs="Arial" w:eastAsia="Arial" w:hAnsi="Arial"/>
                <w:b/>
                <w:bCs/>
                <w:color w:val="000000"/>
                <w:sz w:val="20"/>
                <w:szCs w:val="20"/>
              </w:rPr>
              <w:t xml:space="preserve">TargetDiff (2023)</w:t>
            </w:r>
          </w:p>
        </w:tc>
        <w:tc>
          <w:tcPr>
            <w:tcBorders>
              <w:top w:val="single" w:color="CCCCCC" w:sz="1"/>
              <w:left w:val="single" w:color="CCCCCC" w:sz="1"/>
              <w:bottom w:val="single" w:color="CCCCCC" w:sz="1"/>
              <w:right w:val="single" w:color="CCCCCC" w:sz="1"/>
            </w:tcBorders>
            <w:shd w:fill="EAE6F5" w:val="clear"/>
            <w:tcMar>
              <w:top w:type="dxa" w:w="80"/>
              <w:left w:type="dxa" w:w="120"/>
              <w:bottom w:type="dxa" w:w="80"/>
              <w:right w:type="dxa" w:w="120"/>
            </w:tcMar>
          </w:tcPr>
          <w:p>
            <w:r>
              <w:rPr>
                <w:rFonts w:ascii="Arial" w:cs="Arial" w:eastAsia="Arial" w:hAnsi="Arial"/>
                <w:b/>
                <w:bCs/>
                <w:color w:val="000000"/>
                <w:sz w:val="20"/>
                <w:szCs w:val="20"/>
              </w:rPr>
              <w:t xml:space="preserve">RLFlow-SBDD (Proposed)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Generative backbone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0000"/>
                <w:sz w:val="20"/>
                <w:szCs w:val="20"/>
              </w:rPr>
              <w:t xml:space="preserve">DDPM, 1000 steps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0000"/>
                <w:sz w:val="20"/>
                <w:szCs w:val="20"/>
              </w:rPr>
              <w:t xml:space="preserve">DDPM, 1000 steps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5500"/>
                <w:sz w:val="20"/>
                <w:szCs w:val="20"/>
              </w:rPr>
              <w:t xml:space="preserve">Flow Matching, 50 steps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Inference speed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AA0000"/>
                <w:sz w:val="20"/>
                <w:szCs w:val="20"/>
              </w:rPr>
              <w:t xml:space="preserve">~3400s per 100 mols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AA0000"/>
                <w:sz w:val="20"/>
                <w:szCs w:val="20"/>
              </w:rPr>
              <w:t xml:space="preserve">~3428s per 100 mols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5500"/>
                <w:sz w:val="20"/>
                <w:szCs w:val="20"/>
              </w:rPr>
              <w:t xml:space="preserve">~170s per 100 mols (20x faster)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Affinity in training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0000"/>
                <w:sz w:val="20"/>
                <w:szCs w:val="20"/>
              </w:rPr>
              <w:t xml:space="preserve">Not 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6600"/>
                <w:sz w:val="20"/>
                <w:szCs w:val="20"/>
              </w:rPr>
              <w:t xml:space="preserve">Passive head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5500"/>
                <w:sz w:val="20"/>
                <w:szCs w:val="20"/>
              </w:rPr>
              <w:t xml:space="preserve">Jointly trained + RL reward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RL / optimisation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6600"/>
                <w:sz w:val="20"/>
                <w:szCs w:val="20"/>
              </w:rPr>
              <w:t xml:space="preserve">Evolutionary search only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AA0000"/>
                <w:sz w:val="20"/>
                <w:szCs w:val="20"/>
              </w:rPr>
              <w:t xml:space="preserve">None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5500"/>
                <w:sz w:val="20"/>
                <w:szCs w:val="20"/>
              </w:rPr>
              <w:t xml:space="preserve">DDPO policy gradient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Pocket conditioning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6600"/>
                <w:sz w:val="20"/>
                <w:szCs w:val="20"/>
              </w:rPr>
              <w:t xml:space="preserve">Node concatenation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6600"/>
                <w:sz w:val="20"/>
                <w:szCs w:val="20"/>
              </w:rPr>
              <w:t xml:space="preserve">k-NN edges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5500"/>
                <w:sz w:val="20"/>
                <w:szCs w:val="20"/>
              </w:rPr>
              <w:t xml:space="preserve">Cross-attention every layer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Log-likelihood tractable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AA0000"/>
                <w:sz w:val="20"/>
                <w:szCs w:val="20"/>
              </w:rPr>
              <w:t xml:space="preserve">No (DDPM)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AA0000"/>
                <w:sz w:val="20"/>
                <w:szCs w:val="20"/>
              </w:rPr>
              <w:t xml:space="preserve">No (DDPM)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5500"/>
                <w:sz w:val="20"/>
                <w:szCs w:val="20"/>
              </w:rPr>
              <w:t xml:space="preserve">Yes (flow 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QED/SA in objective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0000"/>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0000"/>
                <w:sz w:val="20"/>
                <w:szCs w:val="20"/>
              </w:rPr>
              <w:t xml:space="preserve">No (known weakness)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5500"/>
                <w:sz w:val="20"/>
                <w:szCs w:val="20"/>
              </w:rPr>
              <w:t xml:space="preserve">Yes, explicit reward terms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Stereochemistry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5500"/>
                <w:sz w:val="20"/>
                <w:szCs w:val="20"/>
              </w:rPr>
              <w:t xml:space="preserve">SE(3) equivariant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6600"/>
                <w:sz w:val="20"/>
                <w:szCs w:val="20"/>
              </w:rPr>
              <w:t xml:space="preserve">SE(3) partial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5500"/>
                <w:sz w:val="20"/>
                <w:szCs w:val="20"/>
              </w:rPr>
              <w:t xml:space="preserve">SE(3), reflection-sensitive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Multi-task (inpaint/hop)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5500"/>
                <w:sz w:val="20"/>
                <w:szCs w:val="20"/>
              </w:rPr>
              <w:t xml:space="preserve">Yes (no retraining)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0000"/>
                <w:sz w:val="20"/>
                <w:szCs w:val="20"/>
              </w:rPr>
              <w:t xml:space="preserve">De novo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5500"/>
                <w:sz w:val="20"/>
                <w:szCs w:val="20"/>
              </w:rPr>
              <w:t xml:space="preserve">Yes + RL fine-tuned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Dataset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CrossDocked + MOAD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CrossDocked only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5500"/>
                <w:sz w:val="20"/>
                <w:szCs w:val="20"/>
              </w:rPr>
              <w:t xml:space="preserve">64,759 pairs, 4 datasets</w:t>
            </w:r>
          </w:p>
        </w:tc>
      </w:tr>
    </w:tbl>
    <w:p>
      <w:pPr>
        <w:spacing w:after="120" w:before="0"/>
      </w:pPr>
      <w:r>
        <w:t xml:space="preserve"/>
      </w:r>
    </w:p>
    <w:p>
      <w:pPr>
        <w:pStyle w:val="Heading2"/>
        <w:spacing w:after="120" w:before="280"/>
      </w:pPr>
      <w:r>
        <w:rPr>
          <w:rFonts w:ascii="Arial" w:cs="Arial" w:eastAsia="Arial" w:hAnsi="Arial"/>
          <w:b/>
          <w:bCs/>
          <w:color w:val="404040"/>
          <w:sz w:val="26"/>
          <w:szCs w:val="26"/>
        </w:rPr>
        <w:t xml:space="preserve">4.1 Expected Performance Advantages</w:t>
      </w:r>
    </w:p>
    <w:p>
      <w:pPr>
        <w:spacing w:after="100" w:before="80"/>
      </w:pPr>
      <w:r>
        <w:rPr>
          <w:rFonts w:ascii="Arial" w:cs="Arial" w:eastAsia="Arial" w:hAnsi="Arial"/>
          <w:sz w:val="22"/>
          <w:szCs w:val="22"/>
        </w:rPr>
        <w:t xml:space="preserve">The architectural choices described above are expected to produce measurable improvements across all standard SBDD evaluation metrics:</w:t>
      </w:r>
    </w:p>
    <w:p>
      <w:pPr>
        <w:spacing w:after="40" w:before="0"/>
      </w:pPr>
      <w:r>
        <w:t xml:space="preserve"/>
      </w:r>
    </w:p>
    <w:p>
      <w:pPr>
        <w:pStyle w:val="ListParagraph"/>
        <w:numPr>
          <w:ilvl w:val="0"/>
          <w:numId w:val="2"/>
        </w:numPr>
        <w:spacing w:after="40" w:before="40"/>
      </w:pPr>
      <w:r>
        <w:rPr>
          <w:rFonts w:ascii="Arial" w:cs="Arial" w:eastAsia="Arial" w:hAnsi="Arial"/>
          <w:b/>
          <w:bCs/>
          <w:sz w:val="22"/>
          <w:szCs w:val="22"/>
        </w:rPr>
        <w:t xml:space="preserve">Vina Score: </w:t>
      </w:r>
      <w:r>
        <w:rPr>
          <w:rFonts w:ascii="Arial" w:cs="Arial" w:eastAsia="Arial" w:hAnsi="Arial"/>
          <w:sz w:val="22"/>
          <w:szCs w:val="22"/>
        </w:rPr>
        <w:t xml:space="preserve">RL fine-tuning directly optimises for Vina affinity via gradient descent, rather than the indirect evolutionary search in DiffSBDD or the absence of any optimisation in TargetDiff. The model should consistently achieve stronger binding scores, particularly on pockets where the reference ligand is already a moderate binder.</w:t>
      </w:r>
    </w:p>
    <w:p>
      <w:pPr>
        <w:pStyle w:val="ListParagraph"/>
        <w:numPr>
          <w:ilvl w:val="0"/>
          <w:numId w:val="2"/>
        </w:numPr>
        <w:spacing w:after="40" w:before="40"/>
      </w:pPr>
      <w:r>
        <w:rPr>
          <w:rFonts w:ascii="Arial" w:cs="Arial" w:eastAsia="Arial" w:hAnsi="Arial"/>
          <w:b/>
          <w:bCs/>
          <w:sz w:val="22"/>
          <w:szCs w:val="22"/>
        </w:rPr>
        <w:t xml:space="preserve">QED and SA: </w:t>
      </w:r>
      <w:r>
        <w:rPr>
          <w:rFonts w:ascii="Arial" w:cs="Arial" w:eastAsia="Arial" w:hAnsi="Arial"/>
          <w:sz w:val="22"/>
          <w:szCs w:val="22"/>
        </w:rPr>
        <w:t xml:space="preserve">Explicit inclusion of drug-likeness and synthesizability in the multi-objective reward eliminates the known weakness of TargetDiff and should produce molecules with QED above 0.5 and SA below 4.0 as a matter of course rather than by chance.</w:t>
      </w:r>
    </w:p>
    <w:p>
      <w:pPr>
        <w:pStyle w:val="ListParagraph"/>
        <w:numPr>
          <w:ilvl w:val="0"/>
          <w:numId w:val="2"/>
        </w:numPr>
        <w:spacing w:after="40" w:before="40"/>
      </w:pPr>
      <w:r>
        <w:rPr>
          <w:rFonts w:ascii="Arial" w:cs="Arial" w:eastAsia="Arial" w:hAnsi="Arial"/>
          <w:b/>
          <w:bCs/>
          <w:sz w:val="22"/>
          <w:szCs w:val="22"/>
        </w:rPr>
        <w:t xml:space="preserve">Inference speed: </w:t>
      </w:r>
      <w:r>
        <w:rPr>
          <w:rFonts w:ascii="Arial" w:cs="Arial" w:eastAsia="Arial" w:hAnsi="Arial"/>
          <w:sz w:val="22"/>
          <w:szCs w:val="22"/>
        </w:rPr>
        <w:t xml:space="preserve">The 50-step flow matching backbone provides a twenty-fold speedup over the 1000-step DDPM baselines, enabling iterative design workflows that would be impractical with slower models.</w:t>
      </w:r>
    </w:p>
    <w:p>
      <w:pPr>
        <w:pStyle w:val="ListParagraph"/>
        <w:numPr>
          <w:ilvl w:val="0"/>
          <w:numId w:val="2"/>
        </w:numPr>
        <w:spacing w:after="40" w:before="40"/>
      </w:pPr>
      <w:r>
        <w:rPr>
          <w:rFonts w:ascii="Arial" w:cs="Arial" w:eastAsia="Arial" w:hAnsi="Arial"/>
          <w:b/>
          <w:bCs/>
          <w:sz w:val="22"/>
          <w:szCs w:val="22"/>
        </w:rPr>
        <w:t xml:space="preserve">Specificity: </w:t>
      </w:r>
      <w:r>
        <w:rPr>
          <w:rFonts w:ascii="Arial" w:cs="Arial" w:eastAsia="Arial" w:hAnsi="Arial"/>
          <w:sz w:val="22"/>
          <w:szCs w:val="22"/>
        </w:rPr>
        <w:t xml:space="preserve">The DDPO curriculum with positive and negative design objectives — rewarding affinity for the target pocket while the multi-objective reward implicitly penalises molecules that are too large or hydrophobic to be selective — should produce more selective binders than the current state of the art.</w:t>
      </w:r>
    </w:p>
    <w:p>
      <w:pPr>
        <w:spacing w:after="80" w:before="0"/>
      </w:pPr>
      <w:r>
        <w:t xml:space="preserve"/>
      </w:r>
    </w:p>
    <w:p>
      <w:r>
        <w:br w:type="page"/>
      </w:r>
    </w:p>
    <w:p>
      <w:pPr>
        <w:pStyle w:val="Heading1"/>
        <w:pBdr>
          <w:bottom w:val="single" w:color="1B4FBF" w:sz="8" w:space="4"/>
        </w:pBdr>
        <w:spacing w:after="160" w:before="360"/>
      </w:pPr>
      <w:r>
        <w:rPr>
          <w:rFonts w:ascii="Arial" w:cs="Arial" w:eastAsia="Arial" w:hAnsi="Arial"/>
          <w:b/>
          <w:bCs/>
          <w:color w:val="1B4FBF"/>
          <w:sz w:val="32"/>
          <w:szCs w:val="32"/>
        </w:rPr>
        <w:t xml:space="preserve">5. Training Plan and Implementation</w:t>
      </w:r>
    </w:p>
    <w:p>
      <w:pPr>
        <w:spacing w:after="60" w:before="0"/>
      </w:pPr>
      <w:r>
        <w:t xml:space="preserve"/>
      </w:r>
    </w:p>
    <w:p>
      <w:pPr>
        <w:pStyle w:val="Heading2"/>
        <w:spacing w:after="120" w:before="280"/>
      </w:pPr>
      <w:r>
        <w:rPr>
          <w:rFonts w:ascii="Arial" w:cs="Arial" w:eastAsia="Arial" w:hAnsi="Arial"/>
          <w:b/>
          <w:bCs/>
          <w:color w:val="404040"/>
          <w:sz w:val="26"/>
          <w:szCs w:val="26"/>
        </w:rPr>
        <w:t xml:space="preserve">5.1 Phase A: Pretraining</w:t>
      </w:r>
    </w:p>
    <w:p>
      <w:pPr>
        <w:spacing w:after="100" w:before="80"/>
      </w:pPr>
      <w:r>
        <w:rPr>
          <w:rFonts w:ascii="Arial" w:cs="Arial" w:eastAsia="Arial" w:hAnsi="Arial"/>
          <w:sz w:val="22"/>
          <w:szCs w:val="22"/>
        </w:rPr>
        <w:t xml:space="preserve">Pretraining runs for 200,000 gradient steps on all 64,759 pairs using the AdamW optimiser with a learning rate of 3e-4, beta parameters of (0.9, 0.999), a batch size of 4 protein-ligand complexes, and gradient clipping at norm 8. The joint loss is the affinity-weighted flow matching objective plus 0.1 times the MSE affinity head loss. The polynomial noise schedule from Hoogeboom et al. is used for atom type diffusion, clipped to [0.001, 1] for numerical stability. Validation is performed every 2000 steps on the validation split, monitoring Vina score, QED, SA, and affinity head MSE. The pretrained checkpoint theta_0 is saved and frozen as the reference model for the KL penalty in Phase B.</w:t>
      </w:r>
    </w:p>
    <w:p>
      <w:pPr>
        <w:spacing w:after="60" w:before="0"/>
      </w:pPr>
      <w:r>
        <w:t xml:space="preserve"/>
      </w:r>
    </w:p>
    <w:p>
      <w:pPr>
        <w:pStyle w:val="Heading2"/>
        <w:spacing w:after="120" w:before="280"/>
      </w:pPr>
      <w:r>
        <w:rPr>
          <w:rFonts w:ascii="Arial" w:cs="Arial" w:eastAsia="Arial" w:hAnsi="Arial"/>
          <w:b/>
          <w:bCs/>
          <w:color w:val="404040"/>
          <w:sz w:val="26"/>
          <w:szCs w:val="26"/>
        </w:rPr>
        <w:t xml:space="preserve">5.2 Phase B: RL Fine-Tuning</w:t>
      </w:r>
    </w:p>
    <w:p>
      <w:pPr>
        <w:spacing w:after="100" w:before="80"/>
      </w:pPr>
      <w:r>
        <w:rPr>
          <w:rFonts w:ascii="Arial" w:cs="Arial" w:eastAsia="Arial" w:hAnsi="Arial"/>
          <w:sz w:val="22"/>
          <w:szCs w:val="22"/>
        </w:rPr>
        <w:t xml:space="preserve">RL fine-tuning runs for 50,000 rounds using the Adam optimiser with a learning rate of 1e-5 — ten times smaller than pretraining to prevent catastrophic forgetting. Each round generates 100 molecules per pocket for a batch of 32 pockets. The KL penalty coefficient beta is cosine-annealed from 0.01 to 0.001. Vina is called every 10 rounds for ground-truth reward calibration; the affinity value head proxy is used in all rounds. The curriculum advances the pocket difficulty level every 500 rounds. The entire RL phase is estimated to require approximately 12 hours on a single NVIDIA A100 80GB GPU, following approximately 36 hours of pretraining.</w:t>
      </w:r>
    </w:p>
    <w:p>
      <w:pPr>
        <w:spacing w:after="60" w:before="0"/>
      </w:pPr>
      <w:r>
        <w:t xml:space="preserve"/>
      </w:r>
    </w:p>
    <w:p>
      <w:pPr>
        <w:pStyle w:val="Heading2"/>
        <w:spacing w:after="120" w:before="280"/>
      </w:pPr>
      <w:r>
        <w:rPr>
          <w:rFonts w:ascii="Arial" w:cs="Arial" w:eastAsia="Arial" w:hAnsi="Arial"/>
          <w:b/>
          <w:bCs/>
          <w:color w:val="404040"/>
          <w:sz w:val="26"/>
          <w:szCs w:val="26"/>
        </w:rPr>
        <w:t xml:space="preserve">5.3 Evaluation Protocol</w:t>
      </w:r>
    </w:p>
    <w:p>
      <w:pPr>
        <w:spacing w:after="100" w:before="80"/>
      </w:pPr>
      <w:r>
        <w:rPr>
          <w:rFonts w:ascii="Arial" w:cs="Arial" w:eastAsia="Arial" w:hAnsi="Arial"/>
          <w:sz w:val="22"/>
          <w:szCs w:val="22"/>
        </w:rPr>
        <w:t xml:space="preserve">The model is evaluated on the held-out test set of 1,327 proteins. For each test pocket, 100 molecules are generated and evaluated on: Vina Score (direct docking without re-docking), Vina Min (local optimisation of generated pose), Vina Dock (full re-docking), High Affinity fraction (percentage of generated molecules with better Vina than the reference ligand), QED, SA, Lipinski compliance, and diversity (average pairwise Tanimoto dissimilarity). These metrics match the evaluation protocol of TargetDiff to enable direct numerical comparison.</w:t>
      </w:r>
    </w:p>
    <w:p>
      <w:pPr>
        <w:spacing w:after="120" w:before="0"/>
      </w:pPr>
      <w:r>
        <w:t xml:space="preserve"/>
      </w:r>
    </w:p>
    <w:p>
      <w:pPr>
        <w:pStyle w:val="Heading1"/>
        <w:pBdr>
          <w:bottom w:val="single" w:color="1B4FBF" w:sz="8" w:space="4"/>
        </w:pBdr>
        <w:spacing w:after="160" w:before="360"/>
      </w:pPr>
      <w:r>
        <w:rPr>
          <w:rFonts w:ascii="Arial" w:cs="Arial" w:eastAsia="Arial" w:hAnsi="Arial"/>
          <w:b/>
          <w:bCs/>
          <w:color w:val="1B4FBF"/>
          <w:sz w:val="32"/>
          <w:szCs w:val="32"/>
        </w:rPr>
        <w:t xml:space="preserve">6. Conclusion</w:t>
      </w:r>
    </w:p>
    <w:p>
      <w:pPr>
        <w:spacing w:after="100" w:before="80"/>
      </w:pPr>
      <w:r>
        <w:rPr>
          <w:rFonts w:ascii="Arial" w:cs="Arial" w:eastAsia="Arial" w:hAnsi="Arial"/>
          <w:sz w:val="22"/>
          <w:szCs w:val="22"/>
        </w:rPr>
        <w:t xml:space="preserve">RLFlow-SBDD proposes a principled solution to the fundamental problem of existing SBDD generative models: the disconnection between generation and evaluation. By replacing the DDPM backbone with flow matching, introducing per-layer cross-attention for pocket conditioning, training a jointly optimised affinity value head, and applying DDPO policy gradient through the full generation trajectory, the proposed architecture enables, for the first time, a diffusion-based SBDD model whose parameters are directly updated by binding affinity gradients.</w:t>
      </w:r>
    </w:p>
    <w:p>
      <w:pPr>
        <w:spacing w:after="60" w:before="0"/>
      </w:pPr>
      <w:r>
        <w:t xml:space="preserve"/>
      </w:r>
    </w:p>
    <w:p>
      <w:pPr>
        <w:spacing w:after="100" w:before="80"/>
      </w:pPr>
      <w:r>
        <w:rPr>
          <w:rFonts w:ascii="Arial" w:cs="Arial" w:eastAsia="Arial" w:hAnsi="Arial"/>
          <w:sz w:val="22"/>
          <w:szCs w:val="22"/>
        </w:rPr>
        <w:t xml:space="preserve">The dataset of 64,759 uniformly Vina-scored pairs from four complementary sources provides a consistent and rich training signal. The fully labelled nature of the dataset — with 100% of pairs having Vina affinities — eliminates the mixed-source calibration problems of previous datasets and enables the affinity-weighted flow matching and contrastive training strategies that would not be feasible with partially labelled data.</w:t>
      </w:r>
    </w:p>
    <w:p>
      <w:pPr>
        <w:spacing w:after="60" w:before="0"/>
      </w:pPr>
      <w:r>
        <w:t xml:space="preserve"/>
      </w:r>
    </w:p>
    <w:p>
      <w:pPr>
        <w:spacing w:after="100" w:before="80"/>
      </w:pPr>
      <w:r>
        <w:rPr>
          <w:rFonts w:ascii="Arial" w:cs="Arial" w:eastAsia="Arial" w:hAnsi="Arial"/>
          <w:sz w:val="22"/>
          <w:szCs w:val="22"/>
        </w:rPr>
        <w:t xml:space="preserve">The expected outcome is a model that surpasses DiffSBDD and TargetDiff on binding affinity metrics while simultaneously achieving superior drug-likeness and synthesizability scores, and doing so at a fraction of the inference time. If successful, this architecture represents a meaningful step toward making deep learning a practical tool in real-world drug discovery pipelines.</w:t>
      </w:r>
    </w:p>
    <w:p>
      <w:pPr>
        <w:spacing w:after="120" w:before="0"/>
      </w:pPr>
      <w:r>
        <w:t xml:space="preserve"/>
      </w:r>
    </w:p>
    <w:p>
      <w:pPr>
        <w:pBdr>
          <w:top w:val="single" w:color="CCCCCC" w:sz="4" w:space="6"/>
        </w:pBdr>
        <w:spacing w:after="0" w:before="200"/>
        <w:jc w:val="center"/>
      </w:pPr>
      <w:r>
        <w:rPr>
          <w:rFonts w:ascii="Arial" w:cs="Arial" w:eastAsia="Arial" w:hAnsi="Arial"/>
          <w:i/>
          <w:iCs/>
          <w:color w:val="999999"/>
          <w:sz w:val="18"/>
          <w:szCs w:val="18"/>
        </w:rPr>
        <w:t xml:space="preserve">RL-Guided Equivariant Flow Diffusion for Structure-Based Drug Design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rFonts w:ascii="Arial" w:cs="Arial" w:eastAsia="Arial" w:hAnsi="Arial"/>
        <w:color w:val="999999"/>
        <w:sz w:val="16"/>
        <w:szCs w:val="16"/>
      </w:rPr>
      <w:t xml:space="preserve">Confidential — Internal Research Document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BF" w:sz="6" w:space="2"/>
      </w:pBdr>
    </w:pPr>
    <w:r>
      <w:rPr>
        <w:rFonts w:ascii="Arial" w:cs="Arial" w:eastAsia="Arial" w:hAnsi="Arial"/>
        <w:color w:val="888888"/>
        <w:sz w:val="18"/>
        <w:szCs w:val="18"/>
      </w:rPr>
      <w:t xml:space="preserve">RL-Guided Diffusion SBDD  </w:t>
    </w:r>
    <w:r>
      <w:rPr>
        <w:rFonts w:ascii="Arial" w:cs="Arial" w:eastAsia="Arial" w:hAnsi="Arial"/>
        <w:b/>
        <w:bCs/>
        <w:color w:val="1B4FBF"/>
        <w:sz w:val="18"/>
        <w:szCs w:val="18"/>
      </w:rPr>
      <w:t xml:space="preserve">Problem Statement &amp; Proposed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B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0404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7B5EA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2026-05-01T04:46:25.957Z</dcterms:created>
  <dcterms:modified xsi:type="dcterms:W3CDTF">2026-05-01T04:46:25.958Z</dcterms:modified>
</cp:coreProperties>
</file>

<file path=docProps/custom.xml><?xml version="1.0" encoding="utf-8"?>
<Properties xmlns="http://schemas.openxmlformats.org/officeDocument/2006/custom-properties" xmlns:vt="http://schemas.openxmlformats.org/officeDocument/2006/docPropsVTypes"/>
</file>