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37E" w:rsidRPr="0006137E" w:rsidRDefault="0006137E" w:rsidP="0006137E">
      <w:pPr>
        <w:rPr>
          <w:rFonts w:ascii="Castellar" w:hAnsi="Castellar"/>
          <w:color w:val="FFC000"/>
          <w:sz w:val="36"/>
          <w:szCs w:val="36"/>
        </w:rPr>
      </w:pPr>
      <w:r w:rsidRPr="0006137E">
        <w:rPr>
          <w:rFonts w:ascii="Castellar" w:hAnsi="Castellar"/>
          <w:color w:val="FFC000"/>
          <w:sz w:val="36"/>
          <w:szCs w:val="36"/>
        </w:rPr>
        <w:t xml:space="preserve">MARGINAL WORKERS: </w:t>
      </w:r>
    </w:p>
    <w:p w:rsidR="0006137E" w:rsidRDefault="0006137E" w:rsidP="0006137E">
      <w:pPr>
        <w:rPr>
          <w:rFonts w:ascii="Constantia" w:hAnsi="Constantia"/>
          <w:b/>
          <w:bCs/>
          <w:i/>
          <w:iCs/>
          <w:sz w:val="24"/>
          <w:szCs w:val="24"/>
        </w:rPr>
      </w:pPr>
      <w:r w:rsidRPr="0006137E">
        <w:rPr>
          <w:rFonts w:ascii="Constantia" w:hAnsi="Constantia"/>
          <w:b/>
          <w:bCs/>
          <w:i/>
          <w:iCs/>
          <w:sz w:val="24"/>
          <w:szCs w:val="24"/>
        </w:rPr>
        <w:t>Those workers who had not worked for the major part of the reference period (i.e. less than 6 months) are termed as Marginal Workers. Work is defined as participation in any economically productive activity with or without compensation, wages or profit. Such participation may be physical and/or mental in nature.</w:t>
      </w:r>
    </w:p>
    <w:p w:rsidR="0006137E" w:rsidRDefault="0006137E" w:rsidP="0006137E">
      <w:pPr>
        <w:rPr>
          <w:rFonts w:ascii="Constantia" w:hAnsi="Constantia"/>
          <w:sz w:val="24"/>
          <w:szCs w:val="24"/>
        </w:rPr>
      </w:pPr>
      <w:r w:rsidRPr="0006137E">
        <w:rPr>
          <w:rFonts w:ascii="Constantia" w:hAnsi="Constantia"/>
          <w:sz w:val="24"/>
          <w:szCs w:val="24"/>
        </w:rPr>
        <w:drawing>
          <wp:inline distT="0" distB="0" distL="0" distR="0">
            <wp:extent cx="5467350" cy="1790700"/>
            <wp:effectExtent l="38100" t="0" r="19050" b="533400"/>
            <wp:docPr id="1" name="Picture 1" descr="election-candidates-dropped-marginal-workers-issue_0_16-11-18-01-11-53.jpg"/>
            <wp:cNvGraphicFramePr/>
            <a:graphic xmlns:a="http://schemas.openxmlformats.org/drawingml/2006/main">
              <a:graphicData uri="http://schemas.openxmlformats.org/drawingml/2006/picture">
                <pic:pic xmlns:pic="http://schemas.openxmlformats.org/drawingml/2006/picture">
                  <pic:nvPicPr>
                    <pic:cNvPr id="4" name="Picture 3" descr="election-candidates-dropped-marginal-workers-issue_0_16-11-18-01-11-53.jpg"/>
                    <pic:cNvPicPr>
                      <a:picLocks noChangeAspect="1"/>
                    </pic:cNvPicPr>
                  </pic:nvPicPr>
                  <pic:blipFill>
                    <a:blip r:embed="rId7"/>
                    <a:stretch>
                      <a:fillRect/>
                    </a:stretch>
                  </pic:blipFill>
                  <pic:spPr>
                    <a:xfrm>
                      <a:off x="0" y="0"/>
                      <a:ext cx="5466409" cy="17903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6137E" w:rsidRPr="0006137E" w:rsidRDefault="0006137E" w:rsidP="0006137E">
      <w:pPr>
        <w:rPr>
          <w:rFonts w:ascii="Constantia" w:hAnsi="Constantia"/>
          <w:color w:val="FFC000"/>
          <w:sz w:val="32"/>
          <w:szCs w:val="32"/>
        </w:rPr>
      </w:pPr>
      <w:r w:rsidRPr="0006137E">
        <w:rPr>
          <w:rFonts w:ascii="Constantia" w:hAnsi="Constantia"/>
          <w:b/>
          <w:bCs/>
          <w:color w:val="FFC000"/>
          <w:sz w:val="32"/>
          <w:szCs w:val="32"/>
        </w:rPr>
        <w:t>SOCIOECONOMIC ANALYSIS</w:t>
      </w:r>
    </w:p>
    <w:p w:rsidR="0006137E" w:rsidRPr="0006137E" w:rsidRDefault="0006137E" w:rsidP="0006137E">
      <w:pPr>
        <w:tabs>
          <w:tab w:val="left" w:pos="1905"/>
        </w:tabs>
        <w:rPr>
          <w:rFonts w:ascii="Constantia" w:hAnsi="Constantia"/>
          <w:sz w:val="24"/>
          <w:szCs w:val="24"/>
        </w:rPr>
      </w:pPr>
      <w:r>
        <w:rPr>
          <w:rFonts w:ascii="Constantia" w:hAnsi="Constantia"/>
          <w:sz w:val="24"/>
          <w:szCs w:val="24"/>
        </w:rPr>
        <w:tab/>
      </w:r>
      <w:r w:rsidRPr="0006137E">
        <w:rPr>
          <w:rFonts w:ascii="Constantia" w:hAnsi="Constantia"/>
          <w:b/>
          <w:bCs/>
          <w:i/>
          <w:iCs/>
          <w:sz w:val="28"/>
          <w:szCs w:val="28"/>
        </w:rPr>
        <w:t>A broad definition of socio-economic assessment is the analysis of “social, cultural, economic and political conditions of individuals, groups, communities and organisations”</w:t>
      </w:r>
    </w:p>
    <w:p w:rsidR="0006137E" w:rsidRDefault="0006137E"/>
    <w:p w:rsidR="00614123" w:rsidRDefault="0006137E">
      <w:r w:rsidRPr="0006137E">
        <w:drawing>
          <wp:inline distT="0" distB="0" distL="0" distR="0">
            <wp:extent cx="5905500" cy="1714500"/>
            <wp:effectExtent l="19050" t="0" r="0" b="0"/>
            <wp:docPr id="2" name="Picture 2" descr="images.jpg"/>
            <wp:cNvGraphicFramePr/>
            <a:graphic xmlns:a="http://schemas.openxmlformats.org/drawingml/2006/main">
              <a:graphicData uri="http://schemas.openxmlformats.org/drawingml/2006/picture">
                <pic:pic xmlns:pic="http://schemas.openxmlformats.org/drawingml/2006/picture">
                  <pic:nvPicPr>
                    <pic:cNvPr id="4" name="Picture 3" descr="images.jpg"/>
                    <pic:cNvPicPr>
                      <a:picLocks noChangeAspect="1"/>
                    </pic:cNvPicPr>
                  </pic:nvPicPr>
                  <pic:blipFill>
                    <a:blip r:embed="rId8"/>
                    <a:stretch>
                      <a:fillRect/>
                    </a:stretch>
                  </pic:blipFill>
                  <pic:spPr>
                    <a:xfrm>
                      <a:off x="0" y="0"/>
                      <a:ext cx="5905500" cy="1714500"/>
                    </a:xfrm>
                    <a:prstGeom prst="rect">
                      <a:avLst/>
                    </a:prstGeom>
                  </pic:spPr>
                </pic:pic>
              </a:graphicData>
            </a:graphic>
          </wp:inline>
        </w:drawing>
      </w:r>
    </w:p>
    <w:p w:rsidR="0006137E" w:rsidRDefault="0006137E" w:rsidP="0006137E">
      <w:pPr>
        <w:shd w:val="clear" w:color="auto" w:fill="FFFFFF"/>
        <w:spacing w:after="240" w:line="240" w:lineRule="auto"/>
        <w:outlineLvl w:val="0"/>
        <w:rPr>
          <w:rFonts w:ascii="Constantia" w:eastAsia="Times New Roman" w:hAnsi="Constantia" w:cs="Times New Roman"/>
          <w:b/>
          <w:bCs/>
          <w:color w:val="FFC000"/>
          <w:kern w:val="36"/>
          <w:sz w:val="40"/>
          <w:szCs w:val="40"/>
          <w:lang w:bidi="ta-IN"/>
        </w:rPr>
      </w:pPr>
      <w:r w:rsidRPr="0006137E">
        <w:rPr>
          <w:rFonts w:ascii="Constantia" w:eastAsia="Times New Roman" w:hAnsi="Constantia" w:cs="Times New Roman"/>
          <w:b/>
          <w:bCs/>
          <w:color w:val="FFC000"/>
          <w:kern w:val="36"/>
          <w:sz w:val="40"/>
          <w:szCs w:val="40"/>
          <w:lang w:bidi="ta-IN"/>
        </w:rPr>
        <w:lastRenderedPageBreak/>
        <w:t>Marginal socio-economic effects of an employer’s efforts to improve the work environment</w:t>
      </w:r>
      <w:r>
        <w:rPr>
          <w:rFonts w:ascii="Constantia" w:eastAsia="Times New Roman" w:hAnsi="Constantia" w:cs="Times New Roman"/>
          <w:b/>
          <w:bCs/>
          <w:color w:val="FFC000"/>
          <w:kern w:val="36"/>
          <w:sz w:val="40"/>
          <w:szCs w:val="40"/>
          <w:lang w:bidi="ta-IN"/>
        </w:rPr>
        <w:t>:</w:t>
      </w:r>
    </w:p>
    <w:p w:rsidR="0006137E" w:rsidRPr="0006137E" w:rsidRDefault="0006137E" w:rsidP="0006137E">
      <w:pPr>
        <w:pStyle w:val="Heading2"/>
        <w:pBdr>
          <w:bottom w:val="single" w:sz="12" w:space="6" w:color="D5D5D5"/>
        </w:pBdr>
        <w:spacing w:before="0"/>
        <w:rPr>
          <w:rFonts w:ascii="Engravers MT" w:hAnsi="Engravers MT"/>
          <w:color w:val="1B3051"/>
          <w:sz w:val="36"/>
          <w:szCs w:val="36"/>
        </w:rPr>
      </w:pPr>
      <w:r w:rsidRPr="0006137E">
        <w:rPr>
          <w:rFonts w:ascii="Engravers MT" w:hAnsi="Engravers MT"/>
          <w:color w:val="1B3051"/>
          <w:sz w:val="36"/>
          <w:szCs w:val="36"/>
        </w:rPr>
        <w:t>Background</w:t>
      </w:r>
      <w:r>
        <w:rPr>
          <w:rFonts w:ascii="Engravers MT" w:hAnsi="Engravers MT"/>
          <w:color w:val="1B3051"/>
          <w:sz w:val="36"/>
          <w:szCs w:val="36"/>
        </w:rPr>
        <w:t>:</w:t>
      </w:r>
    </w:p>
    <w:p w:rsidR="0006137E" w:rsidRPr="0006137E" w:rsidRDefault="0006137E" w:rsidP="0006137E">
      <w:pPr>
        <w:pStyle w:val="NormalWeb"/>
        <w:spacing w:before="0" w:beforeAutospacing="0" w:after="0" w:afterAutospacing="0"/>
        <w:jc w:val="both"/>
        <w:rPr>
          <w:rFonts w:ascii="Constantia" w:hAnsi="Constantia"/>
          <w:sz w:val="28"/>
          <w:szCs w:val="28"/>
        </w:rPr>
      </w:pPr>
      <w:r w:rsidRPr="0006137E">
        <w:rPr>
          <w:rFonts w:ascii="Constantia" w:hAnsi="Constantia"/>
          <w:sz w:val="28"/>
          <w:szCs w:val="28"/>
        </w:rPr>
        <w:t>Satisfied and productive employees are necessary to create a successful company, while dissatisfied and unproductive workers jeopardize the company’s image, sustainability, competitiveness, and survival [</w:t>
      </w:r>
      <w:hyperlink r:id="rId9" w:anchor="ref-CR1" w:tooltip="Rezagholi M, Bantekas A. Making economic social decisions for improving occupational health – a predictive cost-benefit analysis. Occup Med Health Aff. 2015;3:6. &#10;                    https://doi.org/10.4172/2329-6879.1000225&#10;                    &#10;                  ." w:history="1">
        <w:r w:rsidRPr="0006137E">
          <w:rPr>
            <w:rStyle w:val="Hyperlink"/>
            <w:rFonts w:ascii="Constantia" w:hAnsi="Constantia"/>
            <w:color w:val="004B83"/>
            <w:sz w:val="28"/>
            <w:szCs w:val="28"/>
          </w:rPr>
          <w:t>1</w:t>
        </w:r>
      </w:hyperlink>
      <w:r w:rsidRPr="0006137E">
        <w:rPr>
          <w:rFonts w:ascii="Constantia" w:hAnsi="Constantia"/>
          <w:sz w:val="28"/>
          <w:szCs w:val="28"/>
        </w:rPr>
        <w:t>]. The well-being and productivity of the workforce is conditional on a well-functioning work environment with minimum risk factors for illness [</w:t>
      </w:r>
      <w:hyperlink r:id="rId10" w:anchor="ref-CR1" w:tooltip="Rezagholi M, Bantekas A. Making economic social decisions for improving occupational health – a predictive cost-benefit analysis. Occup Med Health Aff. 2015;3:6. &#10;                    https://doi.org/10.4172/2329-6879.1000225&#10;                    &#10;                  ." w:history="1">
        <w:r w:rsidRPr="0006137E">
          <w:rPr>
            <w:rStyle w:val="Hyperlink"/>
            <w:rFonts w:ascii="Constantia" w:hAnsi="Constantia"/>
            <w:color w:val="004B83"/>
            <w:sz w:val="28"/>
            <w:szCs w:val="28"/>
          </w:rPr>
          <w:t>1</w:t>
        </w:r>
      </w:hyperlink>
      <w:r w:rsidRPr="0006137E">
        <w:rPr>
          <w:rFonts w:ascii="Constantia" w:hAnsi="Constantia"/>
          <w:sz w:val="28"/>
          <w:szCs w:val="28"/>
        </w:rPr>
        <w:t>,</w:t>
      </w:r>
      <w:hyperlink r:id="rId11" w:anchor="ref-CR2" w:tooltip="Rezagholi M. Differential socio-economic effects of work environmental risk factors. Journal of Health &amp; Medical Economics. 2016;2(2:9):1–8. &#10;                    http://health-medical-economics.imedpub.com/differential-socioeconomic-effects-of-work-environmental-risk-factors.pdf&#10;                    &#10;                  " w:history="1">
        <w:r w:rsidRPr="0006137E">
          <w:rPr>
            <w:rStyle w:val="Hyperlink"/>
            <w:rFonts w:ascii="Constantia" w:hAnsi="Constantia"/>
            <w:color w:val="004B83"/>
            <w:sz w:val="28"/>
            <w:szCs w:val="28"/>
          </w:rPr>
          <w:t>2</w:t>
        </w:r>
      </w:hyperlink>
      <w:r w:rsidRPr="0006137E">
        <w:rPr>
          <w:rFonts w:ascii="Constantia" w:hAnsi="Constantia"/>
          <w:sz w:val="28"/>
          <w:szCs w:val="28"/>
        </w:rPr>
        <w:t>,</w:t>
      </w:r>
      <w:hyperlink r:id="rId12" w:anchor="ref-CR3" w:tooltip="Sehgal S. Relationship between work environment and productivity. Int J Eng Res Appl. 2012;2:1992–5." w:history="1">
        <w:r w:rsidRPr="0006137E">
          <w:rPr>
            <w:rStyle w:val="Hyperlink"/>
            <w:rFonts w:ascii="Constantia" w:hAnsi="Constantia"/>
            <w:color w:val="004B83"/>
            <w:sz w:val="28"/>
            <w:szCs w:val="28"/>
          </w:rPr>
          <w:t>3</w:t>
        </w:r>
      </w:hyperlink>
      <w:r w:rsidRPr="0006137E">
        <w:rPr>
          <w:rFonts w:ascii="Constantia" w:hAnsi="Constantia"/>
          <w:sz w:val="28"/>
          <w:szCs w:val="28"/>
        </w:rPr>
        <w:t>,</w:t>
      </w:r>
      <w:hyperlink r:id="rId13" w:anchor="ref-CR4" w:tooltip="Taiwo AS. The influence of work environment on workers’ productivity: a case of selected oil and gas industry in Lagos, Nigeria. Afr. J Bus Manag. 2010;4:299–307." w:history="1">
        <w:r w:rsidRPr="0006137E">
          <w:rPr>
            <w:rStyle w:val="Hyperlink"/>
            <w:rFonts w:ascii="Constantia" w:hAnsi="Constantia"/>
            <w:color w:val="004B83"/>
            <w:sz w:val="28"/>
            <w:szCs w:val="28"/>
          </w:rPr>
          <w:t>4</w:t>
        </w:r>
      </w:hyperlink>
      <w:r w:rsidRPr="0006137E">
        <w:rPr>
          <w:rFonts w:ascii="Constantia" w:hAnsi="Constantia"/>
          <w:sz w:val="28"/>
          <w:szCs w:val="28"/>
        </w:rPr>
        <w:t>,</w:t>
      </w:r>
      <w:hyperlink r:id="rId14" w:anchor="ref-CR5" w:tooltip="Hameed A, Amjad S. Impact of office design on employees’ productivity: a case study of banking organizations of Abbottabad. Pakistan J Pub Affairs Admin Manag. 2009;3:1–13." w:history="1">
        <w:r w:rsidRPr="0006137E">
          <w:rPr>
            <w:rStyle w:val="Hyperlink"/>
            <w:rFonts w:ascii="Constantia" w:hAnsi="Constantia"/>
            <w:color w:val="004B83"/>
            <w:sz w:val="28"/>
            <w:szCs w:val="28"/>
          </w:rPr>
          <w:t>5</w:t>
        </w:r>
      </w:hyperlink>
      <w:r w:rsidRPr="0006137E">
        <w:rPr>
          <w:rFonts w:ascii="Constantia" w:hAnsi="Constantia"/>
          <w:sz w:val="28"/>
          <w:szCs w:val="28"/>
        </w:rPr>
        <w:t>,</w:t>
      </w:r>
      <w:hyperlink r:id="rId15" w:anchor="ref-CR6" w:tooltip="Leblebici D. Impact of workplace quality on employee’s productivity: case study of a bank in Turkey. Journal of Business, Economics &amp; Finance. 2012;1:38–49." w:history="1">
        <w:r w:rsidRPr="0006137E">
          <w:rPr>
            <w:rStyle w:val="Hyperlink"/>
            <w:rFonts w:ascii="Constantia" w:hAnsi="Constantia"/>
            <w:color w:val="004B83"/>
            <w:sz w:val="28"/>
            <w:szCs w:val="28"/>
          </w:rPr>
          <w:t>6</w:t>
        </w:r>
      </w:hyperlink>
      <w:r w:rsidRPr="0006137E">
        <w:rPr>
          <w:rFonts w:ascii="Constantia" w:hAnsi="Constantia"/>
          <w:sz w:val="28"/>
          <w:szCs w:val="28"/>
        </w:rPr>
        <w:t>]. Many disorders in a company are related not only to the physical environment at the workplace [</w:t>
      </w:r>
      <w:hyperlink r:id="rId16" w:anchor="ref-CR2" w:tooltip="Rezagholi M. Differential socio-economic effects of work environmental risk factors. Journal of Health &amp; Medical Economics. 2016;2(2:9):1–8. &#10;                    http://health-medical-economics.imedpub.com/differential-socioeconomic-effects-of-work-environmental-risk-factors.pdf&#10;                    &#10;                  " w:history="1">
        <w:r w:rsidRPr="0006137E">
          <w:rPr>
            <w:rStyle w:val="Hyperlink"/>
            <w:rFonts w:ascii="Constantia" w:hAnsi="Constantia"/>
            <w:color w:val="004B83"/>
            <w:sz w:val="28"/>
            <w:szCs w:val="28"/>
          </w:rPr>
          <w:t>2</w:t>
        </w:r>
      </w:hyperlink>
      <w:r w:rsidRPr="0006137E">
        <w:rPr>
          <w:rFonts w:ascii="Constantia" w:hAnsi="Constantia"/>
          <w:sz w:val="28"/>
          <w:szCs w:val="28"/>
        </w:rPr>
        <w:t>,</w:t>
      </w:r>
      <w:hyperlink r:id="rId17" w:anchor="ref-CR3" w:tooltip="Sehgal S. Relationship between work environment and productivity. Int J Eng Res Appl. 2012;2:1992–5." w:history="1">
        <w:r w:rsidRPr="0006137E">
          <w:rPr>
            <w:rStyle w:val="Hyperlink"/>
            <w:rFonts w:ascii="Constantia" w:hAnsi="Constantia"/>
            <w:color w:val="004B83"/>
            <w:sz w:val="28"/>
            <w:szCs w:val="28"/>
          </w:rPr>
          <w:t>3</w:t>
        </w:r>
      </w:hyperlink>
      <w:r w:rsidRPr="0006137E">
        <w:rPr>
          <w:rFonts w:ascii="Constantia" w:hAnsi="Constantia"/>
          <w:sz w:val="28"/>
          <w:szCs w:val="28"/>
        </w:rPr>
        <w:t>,</w:t>
      </w:r>
      <w:hyperlink r:id="rId18" w:anchor="ref-CR4" w:tooltip="Taiwo AS. The influence of work environment on workers’ productivity: a case of selected oil and gas industry in Lagos, Nigeria. Afr. J Bus Manag. 2010;4:299–307." w:history="1">
        <w:r w:rsidRPr="0006137E">
          <w:rPr>
            <w:rStyle w:val="Hyperlink"/>
            <w:rFonts w:ascii="Constantia" w:hAnsi="Constantia"/>
            <w:color w:val="004B83"/>
            <w:sz w:val="28"/>
            <w:szCs w:val="28"/>
          </w:rPr>
          <w:t>4</w:t>
        </w:r>
      </w:hyperlink>
      <w:r w:rsidRPr="0006137E">
        <w:rPr>
          <w:rFonts w:ascii="Constantia" w:hAnsi="Constantia"/>
          <w:sz w:val="28"/>
          <w:szCs w:val="28"/>
        </w:rPr>
        <w:t>,</w:t>
      </w:r>
      <w:hyperlink r:id="rId19" w:anchor="ref-CR5" w:tooltip="Hameed A, Amjad S. Impact of office design on employees’ productivity: a case study of banking organizations of Abbottabad. Pakistan J Pub Affairs Admin Manag. 2009;3:1–13." w:history="1">
        <w:r w:rsidRPr="0006137E">
          <w:rPr>
            <w:rStyle w:val="Hyperlink"/>
            <w:rFonts w:ascii="Constantia" w:hAnsi="Constantia"/>
            <w:color w:val="004B83"/>
            <w:sz w:val="28"/>
            <w:szCs w:val="28"/>
          </w:rPr>
          <w:t>5</w:t>
        </w:r>
      </w:hyperlink>
      <w:r w:rsidRPr="0006137E">
        <w:rPr>
          <w:rFonts w:ascii="Constantia" w:hAnsi="Constantia"/>
          <w:sz w:val="28"/>
          <w:szCs w:val="28"/>
        </w:rPr>
        <w:t>,</w:t>
      </w:r>
      <w:hyperlink r:id="rId20" w:anchor="ref-CR6" w:tooltip="Leblebici D. Impact of workplace quality on employee’s productivity: case study of a bank in Turkey. Journal of Business, Economics &amp; Finance. 2012;1:38–49." w:history="1">
        <w:r w:rsidRPr="0006137E">
          <w:rPr>
            <w:rStyle w:val="Hyperlink"/>
            <w:rFonts w:ascii="Constantia" w:hAnsi="Constantia"/>
            <w:color w:val="004B83"/>
            <w:sz w:val="28"/>
            <w:szCs w:val="28"/>
          </w:rPr>
          <w:t>6</w:t>
        </w:r>
      </w:hyperlink>
      <w:r w:rsidRPr="0006137E">
        <w:rPr>
          <w:rFonts w:ascii="Constantia" w:hAnsi="Constantia"/>
          <w:sz w:val="28"/>
          <w:szCs w:val="28"/>
        </w:rPr>
        <w:t>,</w:t>
      </w:r>
      <w:hyperlink r:id="rId21" w:anchor="ref-CR7" w:tooltip="Akbari J, Dehghan H, Azmoon H, Forouharmajd F. Relationship between lighting and noise levels and productivity of the occupants in automotive assembly industry. J Environ Public Health. 2013;2013:527078. &#10;                    https://doi.org/10.1155/2013/527078&#10;                    &#10;                  ." w:history="1">
        <w:r w:rsidRPr="0006137E">
          <w:rPr>
            <w:rStyle w:val="Hyperlink"/>
            <w:rFonts w:ascii="Constantia" w:hAnsi="Constantia"/>
            <w:color w:val="004B83"/>
            <w:sz w:val="28"/>
            <w:szCs w:val="28"/>
          </w:rPr>
          <w:t>7</w:t>
        </w:r>
      </w:hyperlink>
      <w:r w:rsidRPr="0006137E">
        <w:rPr>
          <w:rFonts w:ascii="Constantia" w:hAnsi="Constantia"/>
          <w:sz w:val="28"/>
          <w:szCs w:val="28"/>
        </w:rPr>
        <w:t>], but also to the work conditions along a series of psychosocial and ergonomic factors that characterize the work culture in the company [</w:t>
      </w:r>
      <w:hyperlink r:id="rId22" w:anchor="ref-CR1" w:tooltip="Rezagholi M, Bantekas A. Making economic social decisions for improving occupational health – a predictive cost-benefit analysis. Occup Med Health Aff. 2015;3:6. &#10;                    https://doi.org/10.4172/2329-6879.1000225&#10;                    &#10;                  ." w:history="1">
        <w:r w:rsidRPr="0006137E">
          <w:rPr>
            <w:rStyle w:val="Hyperlink"/>
            <w:rFonts w:ascii="Constantia" w:hAnsi="Constantia"/>
            <w:color w:val="004B83"/>
            <w:sz w:val="28"/>
            <w:szCs w:val="28"/>
          </w:rPr>
          <w:t>1</w:t>
        </w:r>
      </w:hyperlink>
      <w:r w:rsidRPr="0006137E">
        <w:rPr>
          <w:rFonts w:ascii="Constantia" w:hAnsi="Constantia"/>
          <w:sz w:val="28"/>
          <w:szCs w:val="28"/>
        </w:rPr>
        <w:t>,</w:t>
      </w:r>
      <w:hyperlink r:id="rId23" w:anchor="ref-CR2" w:tooltip="Rezagholi M. Differential socio-economic effects of work environmental risk factors. Journal of Health &amp; Medical Economics. 2016;2(2:9):1–8. &#10;                    http://health-medical-economics.imedpub.com/differential-socioeconomic-effects-of-work-environmental-risk-factors.pdf&#10;                    &#10;                  " w:history="1">
        <w:r w:rsidRPr="0006137E">
          <w:rPr>
            <w:rStyle w:val="Hyperlink"/>
            <w:rFonts w:ascii="Constantia" w:hAnsi="Constantia"/>
            <w:color w:val="004B83"/>
            <w:sz w:val="28"/>
            <w:szCs w:val="28"/>
          </w:rPr>
          <w:t>2</w:t>
        </w:r>
      </w:hyperlink>
      <w:r w:rsidRPr="0006137E">
        <w:rPr>
          <w:rFonts w:ascii="Constantia" w:hAnsi="Constantia"/>
          <w:sz w:val="28"/>
          <w:szCs w:val="28"/>
        </w:rPr>
        <w:t>,</w:t>
      </w:r>
      <w:hyperlink r:id="rId24" w:anchor="ref-CR3" w:tooltip="Sehgal S. Relationship between work environment and productivity. Int J Eng Res Appl. 2012;2:1992–5." w:history="1">
        <w:r w:rsidRPr="0006137E">
          <w:rPr>
            <w:rStyle w:val="Hyperlink"/>
            <w:rFonts w:ascii="Constantia" w:hAnsi="Constantia"/>
            <w:color w:val="004B83"/>
            <w:sz w:val="28"/>
            <w:szCs w:val="28"/>
          </w:rPr>
          <w:t>3</w:t>
        </w:r>
      </w:hyperlink>
      <w:r w:rsidRPr="0006137E">
        <w:rPr>
          <w:rFonts w:ascii="Constantia" w:hAnsi="Constantia"/>
          <w:sz w:val="28"/>
          <w:szCs w:val="28"/>
        </w:rPr>
        <w:t>,</w:t>
      </w:r>
      <w:hyperlink r:id="rId25" w:anchor="ref-CR4" w:tooltip="Taiwo AS. The influence of work environment on workers’ productivity: a case of selected oil and gas industry in Lagos, Nigeria. Afr. J Bus Manag. 2010;4:299–307." w:history="1">
        <w:r w:rsidRPr="0006137E">
          <w:rPr>
            <w:rStyle w:val="Hyperlink"/>
            <w:rFonts w:ascii="Constantia" w:hAnsi="Constantia"/>
            <w:color w:val="004B83"/>
            <w:sz w:val="28"/>
            <w:szCs w:val="28"/>
          </w:rPr>
          <w:t>4</w:t>
        </w:r>
      </w:hyperlink>
      <w:r w:rsidRPr="0006137E">
        <w:rPr>
          <w:rFonts w:ascii="Constantia" w:hAnsi="Constantia"/>
          <w:sz w:val="28"/>
          <w:szCs w:val="28"/>
        </w:rPr>
        <w:t>,</w:t>
      </w:r>
      <w:hyperlink r:id="rId26" w:anchor="ref-CR5" w:tooltip="Hameed A, Amjad S. Impact of office design on employees’ productivity: a case study of banking organizations of Abbottabad. Pakistan J Pub Affairs Admin Manag. 2009;3:1–13." w:history="1">
        <w:r w:rsidRPr="0006137E">
          <w:rPr>
            <w:rStyle w:val="Hyperlink"/>
            <w:rFonts w:ascii="Constantia" w:hAnsi="Constantia"/>
            <w:color w:val="004B83"/>
            <w:sz w:val="28"/>
            <w:szCs w:val="28"/>
          </w:rPr>
          <w:t>5</w:t>
        </w:r>
      </w:hyperlink>
      <w:r w:rsidRPr="0006137E">
        <w:rPr>
          <w:rFonts w:ascii="Constantia" w:hAnsi="Constantia"/>
          <w:sz w:val="28"/>
          <w:szCs w:val="28"/>
        </w:rPr>
        <w:t>,</w:t>
      </w:r>
      <w:hyperlink r:id="rId27" w:anchor="ref-CR6" w:tooltip="Leblebici D. Impact of workplace quality on employee’s productivity: case study of a bank in Turkey. Journal of Business, Economics &amp; Finance. 2012;1:38–49." w:history="1">
        <w:r w:rsidRPr="0006137E">
          <w:rPr>
            <w:rStyle w:val="Hyperlink"/>
            <w:rFonts w:ascii="Constantia" w:hAnsi="Constantia"/>
            <w:color w:val="004B83"/>
            <w:sz w:val="28"/>
            <w:szCs w:val="28"/>
          </w:rPr>
          <w:t>6</w:t>
        </w:r>
      </w:hyperlink>
      <w:r w:rsidRPr="0006137E">
        <w:rPr>
          <w:rFonts w:ascii="Constantia" w:hAnsi="Constantia"/>
          <w:sz w:val="28"/>
          <w:szCs w:val="28"/>
        </w:rPr>
        <w:t>, </w:t>
      </w:r>
      <w:hyperlink r:id="rId28" w:anchor="ref-CR8" w:tooltip="Tompa E, Dolinschi R, Oliveira C, Amick BC 3rd, Irvin E. A systematic review of workplace ergonomic interventions with economic analyses. J Occup Rehabil 2010;20:220–234." w:history="1">
        <w:r w:rsidRPr="0006137E">
          <w:rPr>
            <w:rStyle w:val="Hyperlink"/>
            <w:rFonts w:ascii="Constantia" w:hAnsi="Constantia"/>
            <w:color w:val="004B83"/>
            <w:sz w:val="28"/>
            <w:szCs w:val="28"/>
          </w:rPr>
          <w:t>8</w:t>
        </w:r>
      </w:hyperlink>
      <w:r w:rsidRPr="0006137E">
        <w:rPr>
          <w:rFonts w:ascii="Constantia" w:hAnsi="Constantia"/>
          <w:sz w:val="28"/>
          <w:szCs w:val="28"/>
        </w:rPr>
        <w:t>,</w:t>
      </w:r>
      <w:hyperlink r:id="rId29" w:anchor="ref-CR9" w:tooltip="Beevis D, Slade IM. Ergonomics – costs and benefits. Appl Ergon. 2003;34:413–8." w:history="1">
        <w:r w:rsidRPr="0006137E">
          <w:rPr>
            <w:rStyle w:val="Hyperlink"/>
            <w:rFonts w:ascii="Constantia" w:hAnsi="Constantia"/>
            <w:color w:val="004B83"/>
            <w:sz w:val="28"/>
            <w:szCs w:val="28"/>
          </w:rPr>
          <w:t>9</w:t>
        </w:r>
      </w:hyperlink>
      <w:r w:rsidRPr="0006137E">
        <w:rPr>
          <w:rFonts w:ascii="Constantia" w:hAnsi="Constantia"/>
          <w:sz w:val="28"/>
          <w:szCs w:val="28"/>
        </w:rPr>
        <w:t>,</w:t>
      </w:r>
      <w:hyperlink r:id="rId30" w:anchor="ref-CR10" w:tooltip="Goggins RW, Spielholz P, Nothstein GL. Estimating the effectiveness of ergonomics interventions through case studies: implications for predictive cost-benefit analysis. J Saf Res. 2008;39:339–44." w:history="1">
        <w:r w:rsidRPr="0006137E">
          <w:rPr>
            <w:rStyle w:val="Hyperlink"/>
            <w:rFonts w:ascii="Constantia" w:hAnsi="Constantia"/>
            <w:color w:val="004B83"/>
            <w:sz w:val="28"/>
            <w:szCs w:val="28"/>
          </w:rPr>
          <w:t>10</w:t>
        </w:r>
      </w:hyperlink>
      <w:r w:rsidRPr="0006137E">
        <w:rPr>
          <w:rFonts w:ascii="Constantia" w:hAnsi="Constantia"/>
          <w:sz w:val="28"/>
          <w:szCs w:val="28"/>
        </w:rPr>
        <w:t>,</w:t>
      </w:r>
      <w:hyperlink r:id="rId31" w:anchor="ref-CR11" w:tooltip="Karlsson ML, Björklund C, Jenson I. The effects of psychosocial work factors on production loss, and the mediating effect of employee health. J Occup Environ Med. 2010;52(3):310–7." w:history="1">
        <w:r w:rsidRPr="0006137E">
          <w:rPr>
            <w:rStyle w:val="Hyperlink"/>
            <w:rFonts w:ascii="Constantia" w:hAnsi="Constantia"/>
            <w:color w:val="004B83"/>
            <w:sz w:val="28"/>
            <w:szCs w:val="28"/>
          </w:rPr>
          <w:t>11</w:t>
        </w:r>
      </w:hyperlink>
      <w:r w:rsidRPr="0006137E">
        <w:rPr>
          <w:rFonts w:ascii="Constantia" w:hAnsi="Constantia"/>
          <w:sz w:val="28"/>
          <w:szCs w:val="28"/>
        </w:rPr>
        <w:t>,</w:t>
      </w:r>
      <w:hyperlink r:id="rId32" w:anchor="ref-CR12" w:tooltip="Reineholm C. Psychosocial work conditions and aspects of health [dissertation]. Linköping: Linköping University Medical Dissertations; 2013." w:history="1">
        <w:r w:rsidRPr="0006137E">
          <w:rPr>
            <w:rStyle w:val="Hyperlink"/>
            <w:rFonts w:ascii="Constantia" w:hAnsi="Constantia"/>
            <w:color w:val="004B83"/>
            <w:sz w:val="28"/>
            <w:szCs w:val="28"/>
          </w:rPr>
          <w:t>12</w:t>
        </w:r>
      </w:hyperlink>
      <w:r w:rsidRPr="0006137E">
        <w:rPr>
          <w:rFonts w:ascii="Constantia" w:hAnsi="Constantia"/>
          <w:sz w:val="28"/>
          <w:szCs w:val="28"/>
        </w:rPr>
        <w:t>,</w:t>
      </w:r>
      <w:hyperlink r:id="rId33" w:anchor="ref-CR13" w:tooltip="Reineholm C, Gustavsson M, Ekberg K. Evaluation of job stress models for predicting health at work. Work. 2011;40:229–37." w:history="1">
        <w:r w:rsidRPr="0006137E">
          <w:rPr>
            <w:rStyle w:val="Hyperlink"/>
            <w:rFonts w:ascii="Constantia" w:hAnsi="Constantia"/>
            <w:color w:val="004B83"/>
            <w:sz w:val="28"/>
            <w:szCs w:val="28"/>
          </w:rPr>
          <w:t>13</w:t>
        </w:r>
      </w:hyperlink>
      <w:r w:rsidRPr="0006137E">
        <w:rPr>
          <w:rFonts w:ascii="Constantia" w:hAnsi="Constantia"/>
          <w:sz w:val="28"/>
          <w:szCs w:val="28"/>
        </w:rPr>
        <w:t>]. Efforts to create a pleasant and productive work environment can be made by employers, employees, and even society’s health policy makers. The term </w:t>
      </w:r>
      <w:r w:rsidRPr="0006137E">
        <w:rPr>
          <w:rFonts w:ascii="Constantia" w:hAnsi="Constantia"/>
          <w:i/>
          <w:iCs/>
          <w:sz w:val="28"/>
          <w:szCs w:val="28"/>
        </w:rPr>
        <w:t>workplace health promotion</w:t>
      </w:r>
      <w:r w:rsidRPr="0006137E">
        <w:rPr>
          <w:rFonts w:ascii="Constantia" w:hAnsi="Constantia"/>
          <w:sz w:val="28"/>
          <w:szCs w:val="28"/>
        </w:rPr>
        <w:t> (WHP) is thus defined by the European Network for Workplace Health Promotion (ENWHP) in the Luxemburg Declaration 2007 as the ‘combined efforts’ of employers, employees, and society to improve the mental and physical health and well-being of people at work (</w:t>
      </w:r>
      <w:hyperlink r:id="rId34" w:history="1">
        <w:r w:rsidRPr="0006137E">
          <w:rPr>
            <w:rStyle w:val="Hyperlink"/>
            <w:rFonts w:ascii="Constantia" w:hAnsi="Constantia"/>
            <w:color w:val="004B83"/>
            <w:sz w:val="28"/>
            <w:szCs w:val="28"/>
          </w:rPr>
          <w:t>http://www.enwhp.org/fileadmin/rs-dokumente/dateien/Luxembourg_Declaration.pdf</w:t>
        </w:r>
      </w:hyperlink>
      <w:r w:rsidRPr="0006137E">
        <w:rPr>
          <w:rFonts w:ascii="Constantia" w:hAnsi="Constantia"/>
          <w:sz w:val="28"/>
          <w:szCs w:val="28"/>
        </w:rPr>
        <w:t>). However, management plays a crucial role in these combined efforts when it can lend its full support for effective WHP programmes to be processed, integrated into company health policy, and allocated sufficient financial and physical resources [</w:t>
      </w:r>
      <w:hyperlink r:id="rId35" w:anchor="ref-CR14" w:tooltip="European Agency for Safety and Health at Work. Motivation for employers to carry out work place health promotion 2012; &#10;                    https://doi.org/10.2802/50267&#10;                    &#10;                  ." w:history="1">
        <w:r w:rsidRPr="0006137E">
          <w:rPr>
            <w:rStyle w:val="Hyperlink"/>
            <w:rFonts w:ascii="Constantia" w:hAnsi="Constantia"/>
            <w:color w:val="004B83"/>
            <w:sz w:val="28"/>
            <w:szCs w:val="28"/>
          </w:rPr>
          <w:t>14</w:t>
        </w:r>
      </w:hyperlink>
      <w:r w:rsidRPr="0006137E">
        <w:rPr>
          <w:rFonts w:ascii="Constantia" w:hAnsi="Constantia"/>
          <w:sz w:val="28"/>
          <w:szCs w:val="28"/>
        </w:rPr>
        <w:t>]. Everything from optimization of the physical environment at the workplace for different work functions up to the improvement of ergonomic and psychosocial working conditions can increase workers’ health and well-being and thereby the company’s sustainability and future benefits. WHP intervention programmes have been shown to result in reduced stress and physical strain [</w:t>
      </w:r>
      <w:hyperlink r:id="rId36" w:anchor="ref-CR14" w:tooltip="European Agency for Safety and Health at Work. Motivation for employers to carry out work place health promotion 2012; &#10;                    https://doi.org/10.2802/50267&#10;                    &#10;                  ." w:history="1">
        <w:r w:rsidRPr="0006137E">
          <w:rPr>
            <w:rStyle w:val="Hyperlink"/>
            <w:rFonts w:ascii="Constantia" w:hAnsi="Constantia"/>
            <w:color w:val="004B83"/>
            <w:sz w:val="28"/>
            <w:szCs w:val="28"/>
          </w:rPr>
          <w:t>14</w:t>
        </w:r>
      </w:hyperlink>
      <w:r w:rsidRPr="0006137E">
        <w:rPr>
          <w:rFonts w:ascii="Constantia" w:hAnsi="Constantia"/>
          <w:sz w:val="28"/>
          <w:szCs w:val="28"/>
        </w:rPr>
        <w:t>], less sick leave, improved psychosocial well-being and work satisfaction [</w:t>
      </w:r>
      <w:hyperlink r:id="rId37" w:anchor="ref-CR15" w:tooltip="Aust B, Ducki A. Comprehensive health promotion interventions at the workplace: experiences with health circles in Germany. J Occup Health Psychol. 2004;9(3):258–70." w:history="1">
        <w:r w:rsidRPr="0006137E">
          <w:rPr>
            <w:rStyle w:val="Hyperlink"/>
            <w:rFonts w:ascii="Constantia" w:hAnsi="Constantia"/>
            <w:color w:val="004B83"/>
            <w:sz w:val="28"/>
            <w:szCs w:val="28"/>
          </w:rPr>
          <w:t>15</w:t>
        </w:r>
      </w:hyperlink>
      <w:r w:rsidRPr="0006137E">
        <w:rPr>
          <w:rFonts w:ascii="Constantia" w:hAnsi="Constantia"/>
          <w:sz w:val="28"/>
          <w:szCs w:val="28"/>
        </w:rPr>
        <w:t>], better social support from supervisors and colleagues [</w:t>
      </w:r>
      <w:hyperlink r:id="rId38" w:anchor="ref-CR16" w:tooltip="Beermann B, Kuhn K, Kompier M. Germany: ‘Reduction of stress by health circles’ in Kompier M, Cooper C. Preventing stress, improving productivity: European case studies in the workplace. London; Routledge 1999: 222–241." w:history="1">
        <w:r w:rsidRPr="0006137E">
          <w:rPr>
            <w:rStyle w:val="Hyperlink"/>
            <w:rFonts w:ascii="Constantia" w:hAnsi="Constantia"/>
            <w:color w:val="004B83"/>
            <w:sz w:val="28"/>
            <w:szCs w:val="28"/>
          </w:rPr>
          <w:t>16</w:t>
        </w:r>
      </w:hyperlink>
      <w:r w:rsidRPr="0006137E">
        <w:rPr>
          <w:rFonts w:ascii="Constantia" w:hAnsi="Constantia"/>
          <w:sz w:val="28"/>
          <w:szCs w:val="28"/>
        </w:rPr>
        <w:t>], and also reduced cost for work-related disorders [</w:t>
      </w:r>
      <w:hyperlink r:id="rId39" w:anchor="ref-CR1" w:tooltip="Rezagholi M, Bantekas A. Making economic social decisions for improving occupational health – a predictive cost-benefit analysis. Occup Med Health Aff. 2015;3:6. &#10;                    https://doi.org/10.4172/2329-6879.1000225&#10;                    &#10;                  ." w:history="1">
        <w:r w:rsidRPr="0006137E">
          <w:rPr>
            <w:rStyle w:val="Hyperlink"/>
            <w:rFonts w:ascii="Constantia" w:hAnsi="Constantia"/>
            <w:color w:val="004B83"/>
            <w:sz w:val="28"/>
            <w:szCs w:val="28"/>
          </w:rPr>
          <w:t>1</w:t>
        </w:r>
      </w:hyperlink>
      <w:r w:rsidRPr="0006137E">
        <w:rPr>
          <w:rFonts w:ascii="Constantia" w:hAnsi="Constantia"/>
          <w:sz w:val="28"/>
          <w:szCs w:val="28"/>
        </w:rPr>
        <w:t>, </w:t>
      </w:r>
      <w:hyperlink r:id="rId40" w:anchor="ref-CR17" w:tooltip="Rezagholi M. Economic decisions on proposed work environmental studies – a theory for cost and value of information. Science Journal of Public Health. 2016;4:11–9. &#10;                    https://doi.org/10.11648/j.sjph.20160401.12&#10;                    &#10;                  ." w:history="1">
        <w:r w:rsidRPr="0006137E">
          <w:rPr>
            <w:rStyle w:val="Hyperlink"/>
            <w:rFonts w:ascii="Constantia" w:hAnsi="Constantia"/>
            <w:color w:val="004B83"/>
            <w:sz w:val="28"/>
            <w:szCs w:val="28"/>
          </w:rPr>
          <w:t>17</w:t>
        </w:r>
      </w:hyperlink>
      <w:r w:rsidRPr="0006137E">
        <w:rPr>
          <w:rFonts w:ascii="Constantia" w:hAnsi="Constantia"/>
          <w:sz w:val="28"/>
          <w:szCs w:val="28"/>
        </w:rPr>
        <w:t xml:space="preserve">]. Thus, there are many factors motivating employers to implement and integrate WHP programmes. These include factors relating to the economic costs saved by </w:t>
      </w:r>
      <w:r w:rsidRPr="0006137E">
        <w:rPr>
          <w:rFonts w:ascii="Constantia" w:hAnsi="Constantia"/>
          <w:sz w:val="28"/>
          <w:szCs w:val="28"/>
        </w:rPr>
        <w:lastRenderedPageBreak/>
        <w:t>reducing sickness absenteeism and presenteeism, and thus production loss; but also, those relating to the economic benefits of increasing workers’ potential productivity [</w:t>
      </w:r>
      <w:hyperlink r:id="rId41" w:anchor="ref-CR1" w:tooltip="Rezagholi M, Bantekas A. Making economic social decisions for improving occupational health – a predictive cost-benefit analysis. Occup Med Health Aff. 2015;3:6. &#10;                    https://doi.org/10.4172/2329-6879.1000225&#10;                    &#10;                  ." w:history="1">
        <w:r w:rsidRPr="0006137E">
          <w:rPr>
            <w:rStyle w:val="Hyperlink"/>
            <w:rFonts w:ascii="Constantia" w:hAnsi="Constantia"/>
            <w:color w:val="004B83"/>
            <w:sz w:val="28"/>
            <w:szCs w:val="28"/>
          </w:rPr>
          <w:t>1</w:t>
        </w:r>
      </w:hyperlink>
      <w:r w:rsidRPr="0006137E">
        <w:rPr>
          <w:rFonts w:ascii="Constantia" w:hAnsi="Constantia"/>
          <w:sz w:val="28"/>
          <w:szCs w:val="28"/>
        </w:rPr>
        <w:t>]. There are also external motivating factors such as improved corporate image and customer loyalty, and increased governmental and insurance support [</w:t>
      </w:r>
      <w:hyperlink r:id="rId42" w:anchor="ref-CR14" w:tooltip="European Agency for Safety and Health at Work. Motivation for employers to carry out work place health promotion 2012; &#10;                    https://doi.org/10.2802/50267&#10;                    &#10;                  ." w:history="1">
        <w:r w:rsidRPr="0006137E">
          <w:rPr>
            <w:rStyle w:val="Hyperlink"/>
            <w:rFonts w:ascii="Constantia" w:hAnsi="Constantia"/>
            <w:color w:val="004B83"/>
            <w:sz w:val="28"/>
            <w:szCs w:val="28"/>
          </w:rPr>
          <w:t>14</w:t>
        </w:r>
      </w:hyperlink>
      <w:r w:rsidRPr="0006137E">
        <w:rPr>
          <w:rFonts w:ascii="Constantia" w:hAnsi="Constantia"/>
          <w:sz w:val="28"/>
          <w:szCs w:val="28"/>
        </w:rPr>
        <w:t>].</w:t>
      </w:r>
    </w:p>
    <w:p w:rsidR="0006137E" w:rsidRPr="0006137E" w:rsidRDefault="0006137E" w:rsidP="0006137E">
      <w:pPr>
        <w:pStyle w:val="NormalWeb"/>
        <w:spacing w:before="0" w:beforeAutospacing="0" w:after="0" w:afterAutospacing="0"/>
        <w:jc w:val="both"/>
        <w:rPr>
          <w:rFonts w:ascii="Constantia" w:hAnsi="Constantia"/>
          <w:sz w:val="28"/>
          <w:szCs w:val="28"/>
        </w:rPr>
      </w:pPr>
      <w:r w:rsidRPr="0006137E">
        <w:rPr>
          <w:rFonts w:ascii="Constantia" w:hAnsi="Constantia"/>
          <w:sz w:val="28"/>
          <w:szCs w:val="28"/>
        </w:rPr>
        <w:t>The social costs of work-related disorders, the socio-economic impacts of work environmental risk factors, and even the economic value of the information to be produced during proposed work environmental studies have recently been assessed using appropriate economic theories and methodologies [</w:t>
      </w:r>
      <w:hyperlink r:id="rId43" w:anchor="ref-CR1" w:tooltip="Rezagholi M, Bantekas A. Making economic social decisions for improving occupational health – a predictive cost-benefit analysis. Occup Med Health Aff. 2015;3:6. &#10;                    https://doi.org/10.4172/2329-6879.1000225&#10;                    &#10;                  ." w:history="1">
        <w:r w:rsidRPr="0006137E">
          <w:rPr>
            <w:rStyle w:val="Hyperlink"/>
            <w:rFonts w:ascii="Constantia" w:hAnsi="Constantia"/>
            <w:color w:val="004B83"/>
            <w:sz w:val="28"/>
            <w:szCs w:val="28"/>
          </w:rPr>
          <w:t>1</w:t>
        </w:r>
      </w:hyperlink>
      <w:r w:rsidRPr="0006137E">
        <w:rPr>
          <w:rFonts w:ascii="Constantia" w:hAnsi="Constantia"/>
          <w:sz w:val="28"/>
          <w:szCs w:val="28"/>
        </w:rPr>
        <w:t>, </w:t>
      </w:r>
      <w:hyperlink r:id="rId44" w:anchor="ref-CR2" w:tooltip="Rezagholi M. Differential socio-economic effects of work environmental risk factors. Journal of Health &amp; Medical Economics. 2016;2(2:9):1–8. &#10;                    http://health-medical-economics.imedpub.com/differential-socioeconomic-effects-of-work-environmental-risk-factors.pdf&#10;                    &#10;                  " w:history="1">
        <w:r w:rsidRPr="0006137E">
          <w:rPr>
            <w:rStyle w:val="Hyperlink"/>
            <w:rFonts w:ascii="Constantia" w:hAnsi="Constantia"/>
            <w:color w:val="004B83"/>
            <w:sz w:val="28"/>
            <w:szCs w:val="28"/>
          </w:rPr>
          <w:t>2</w:t>
        </w:r>
      </w:hyperlink>
      <w:r w:rsidRPr="0006137E">
        <w:rPr>
          <w:rFonts w:ascii="Constantia" w:hAnsi="Constantia"/>
          <w:sz w:val="28"/>
          <w:szCs w:val="28"/>
        </w:rPr>
        <w:t>, </w:t>
      </w:r>
      <w:hyperlink r:id="rId45" w:anchor="ref-CR17" w:tooltip="Rezagholi M. Economic decisions on proposed work environmental studies – a theory for cost and value of information. Science Journal of Public Health. 2016;4:11–9. &#10;                    https://doi.org/10.11648/j.sjph.20160401.12&#10;                    &#10;                  ." w:history="1">
        <w:r w:rsidRPr="0006137E">
          <w:rPr>
            <w:rStyle w:val="Hyperlink"/>
            <w:rFonts w:ascii="Constantia" w:hAnsi="Constantia"/>
            <w:color w:val="004B83"/>
            <w:sz w:val="28"/>
            <w:szCs w:val="28"/>
          </w:rPr>
          <w:t>17</w:t>
        </w:r>
      </w:hyperlink>
      <w:r w:rsidRPr="0006137E">
        <w:rPr>
          <w:rFonts w:ascii="Constantia" w:hAnsi="Constantia"/>
          <w:sz w:val="28"/>
          <w:szCs w:val="28"/>
        </w:rPr>
        <w:t>]. However, the employer’s efforts and their socio-economic consequences have not yet been assessed in the same manner. Employers’ multifactorial efforts consist of ‘rewards’ as compensation for workers’ efforts. These rewards are mostly represented by money, self-esteem, career opportunity, and job security [</w:t>
      </w:r>
      <w:hyperlink r:id="rId46" w:anchor="ref-CR18" w:tooltip="Tsutsumi A, Kawakami N. A review of empirical studies on the model of effort – reward imbalance at work: reducing occupational stress by implementing a new theory. Soc Sci Med. 2004;59:2335–59." w:history="1">
        <w:r w:rsidRPr="0006137E">
          <w:rPr>
            <w:rStyle w:val="Hyperlink"/>
            <w:rFonts w:ascii="Constantia" w:hAnsi="Constantia"/>
            <w:color w:val="004B83"/>
            <w:sz w:val="28"/>
            <w:szCs w:val="28"/>
          </w:rPr>
          <w:t>18</w:t>
        </w:r>
      </w:hyperlink>
      <w:r w:rsidRPr="0006137E">
        <w:rPr>
          <w:rFonts w:ascii="Constantia" w:hAnsi="Constantia"/>
          <w:sz w:val="28"/>
          <w:szCs w:val="28"/>
        </w:rPr>
        <w:t>]; but also by improved organizational support [</w:t>
      </w:r>
      <w:hyperlink r:id="rId47" w:anchor="ref-CR19" w:tooltip="Rhoades L, Eisenberger R. Perceived organizational support: a review of the literature. J Appl Psychol. 2002;87:698–714." w:history="1">
        <w:r w:rsidRPr="0006137E">
          <w:rPr>
            <w:rStyle w:val="Hyperlink"/>
            <w:rFonts w:ascii="Constantia" w:hAnsi="Constantia"/>
            <w:color w:val="004B83"/>
            <w:sz w:val="28"/>
            <w:szCs w:val="28"/>
          </w:rPr>
          <w:t>19</w:t>
        </w:r>
      </w:hyperlink>
      <w:r w:rsidRPr="0006137E">
        <w:rPr>
          <w:rFonts w:ascii="Constantia" w:hAnsi="Constantia"/>
          <w:sz w:val="28"/>
          <w:szCs w:val="28"/>
        </w:rPr>
        <w:t>] and optimized physical and ergonomic environmental factors [</w:t>
      </w:r>
      <w:hyperlink r:id="rId48" w:anchor="ref-CR7" w:tooltip="Akbari J, Dehghan H, Azmoon H, Forouharmajd F. Relationship between lighting and noise levels and productivity of the occupants in automotive assembly industry. J Environ Public Health. 2013;2013:527078. &#10;                    https://doi.org/10.1155/2013/527078&#10;                    &#10;                  ." w:history="1">
        <w:r w:rsidRPr="0006137E">
          <w:rPr>
            <w:rStyle w:val="Hyperlink"/>
            <w:rFonts w:ascii="Constantia" w:hAnsi="Constantia"/>
            <w:color w:val="004B83"/>
            <w:sz w:val="28"/>
            <w:szCs w:val="28"/>
          </w:rPr>
          <w:t>7</w:t>
        </w:r>
      </w:hyperlink>
      <w:r w:rsidRPr="0006137E">
        <w:rPr>
          <w:rFonts w:ascii="Constantia" w:hAnsi="Constantia"/>
          <w:sz w:val="28"/>
          <w:szCs w:val="28"/>
        </w:rPr>
        <w:t>, </w:t>
      </w:r>
      <w:hyperlink r:id="rId49" w:anchor="ref-CR10" w:tooltip="Goggins RW, Spielholz P, Nothstein GL. Estimating the effectiveness of ergonomics interventions through case studies: implications for predictive cost-benefit analysis. J Saf Res. 2008;39:339–44." w:history="1">
        <w:r w:rsidRPr="0006137E">
          <w:rPr>
            <w:rStyle w:val="Hyperlink"/>
            <w:rFonts w:ascii="Constantia" w:hAnsi="Constantia"/>
            <w:color w:val="004B83"/>
            <w:sz w:val="28"/>
            <w:szCs w:val="28"/>
          </w:rPr>
          <w:t>10</w:t>
        </w:r>
      </w:hyperlink>
      <w:r w:rsidRPr="0006137E">
        <w:rPr>
          <w:rFonts w:ascii="Constantia" w:hAnsi="Constantia"/>
          <w:sz w:val="28"/>
          <w:szCs w:val="28"/>
        </w:rPr>
        <w:t>]. The literature referenced above advise employers to create and promote a healthy, well-functioning and productive environment for a safe workplace. The literature argue for:</w:t>
      </w:r>
    </w:p>
    <w:p w:rsidR="0006137E" w:rsidRPr="0006137E" w:rsidRDefault="0006137E" w:rsidP="0006137E">
      <w:pPr>
        <w:pStyle w:val="ListParagraph"/>
        <w:spacing w:after="0" w:line="240" w:lineRule="auto"/>
        <w:ind w:left="1080"/>
        <w:jc w:val="both"/>
        <w:rPr>
          <w:rFonts w:ascii="Constantia" w:hAnsi="Constantia"/>
          <w:sz w:val="24"/>
          <w:szCs w:val="24"/>
        </w:rPr>
      </w:pPr>
    </w:p>
    <w:p w:rsidR="0006137E" w:rsidRPr="0006137E" w:rsidRDefault="0006137E" w:rsidP="0006137E">
      <w:pPr>
        <w:pStyle w:val="NormalWeb"/>
        <w:numPr>
          <w:ilvl w:val="0"/>
          <w:numId w:val="3"/>
        </w:numPr>
        <w:spacing w:before="0" w:beforeAutospacing="0" w:after="0" w:afterAutospacing="0"/>
        <w:jc w:val="both"/>
        <w:rPr>
          <w:rFonts w:ascii="Constantia" w:hAnsi="Constantia"/>
          <w:sz w:val="28"/>
          <w:szCs w:val="28"/>
        </w:rPr>
      </w:pPr>
      <w:r w:rsidRPr="0006137E">
        <w:rPr>
          <w:rFonts w:ascii="Constantia" w:hAnsi="Constantia"/>
          <w:sz w:val="28"/>
          <w:szCs w:val="28"/>
        </w:rPr>
        <w:t>Optimizing physical factors such as lighting and noise [</w:t>
      </w:r>
      <w:hyperlink r:id="rId50" w:anchor="ref-CR7" w:tooltip="Akbari J, Dehghan H, Azmoon H, Forouharmajd F. Relationship between lighting and noise levels and productivity of the occupants in automotive assembly industry. J Environ Public Health. 2013;2013:527078. &#10;                    https://doi.org/10.1155/2013/527078&#10;                    &#10;                  ." w:history="1">
        <w:r w:rsidRPr="0006137E">
          <w:rPr>
            <w:rStyle w:val="Hyperlink"/>
            <w:rFonts w:ascii="Constantia" w:hAnsi="Constantia"/>
            <w:color w:val="004B83"/>
            <w:sz w:val="28"/>
            <w:szCs w:val="28"/>
          </w:rPr>
          <w:t>7</w:t>
        </w:r>
      </w:hyperlink>
      <w:r w:rsidRPr="0006137E">
        <w:rPr>
          <w:rFonts w:ascii="Constantia" w:hAnsi="Constantia"/>
          <w:sz w:val="28"/>
          <w:szCs w:val="28"/>
        </w:rPr>
        <w:t>, </w:t>
      </w:r>
      <w:hyperlink r:id="rId51" w:anchor="ref-CR20" w:tooltip="Ismail AR, MRA R, Makhbul ZM, Meier C. Optimization of environmental factors: a study at Malaysian automotive industry. Eur J Sci Res. 2009;27:500–9." w:history="1">
        <w:r w:rsidRPr="0006137E">
          <w:rPr>
            <w:rStyle w:val="Hyperlink"/>
            <w:rFonts w:ascii="Constantia" w:hAnsi="Constantia"/>
            <w:color w:val="004B83"/>
            <w:sz w:val="28"/>
            <w:szCs w:val="28"/>
          </w:rPr>
          <w:t>20</w:t>
        </w:r>
      </w:hyperlink>
      <w:r w:rsidRPr="0006137E">
        <w:rPr>
          <w:rFonts w:ascii="Constantia" w:hAnsi="Constantia"/>
          <w:sz w:val="28"/>
          <w:szCs w:val="28"/>
        </w:rPr>
        <w:t>];</w:t>
      </w:r>
    </w:p>
    <w:p w:rsidR="0006137E" w:rsidRPr="0006137E" w:rsidRDefault="0006137E" w:rsidP="0006137E">
      <w:pPr>
        <w:pStyle w:val="NormalWeb"/>
        <w:numPr>
          <w:ilvl w:val="0"/>
          <w:numId w:val="3"/>
        </w:numPr>
        <w:spacing w:before="0" w:beforeAutospacing="0" w:after="0" w:afterAutospacing="0"/>
        <w:jc w:val="both"/>
        <w:rPr>
          <w:rFonts w:ascii="Constantia" w:hAnsi="Constantia"/>
          <w:sz w:val="28"/>
          <w:szCs w:val="28"/>
        </w:rPr>
      </w:pPr>
      <w:r w:rsidRPr="0006137E">
        <w:rPr>
          <w:rFonts w:ascii="Constantia" w:hAnsi="Constantia"/>
          <w:sz w:val="28"/>
          <w:szCs w:val="28"/>
        </w:rPr>
        <w:t>Improving ergonomic working conditions [</w:t>
      </w:r>
      <w:hyperlink r:id="rId52" w:anchor="ref-CR8" w:tooltip="Tompa E, Dolinschi R, Oliveira C, Amick BC 3rd, Irvin E. A systematic review of workplace ergonomic interventions with economic analyses. J Occup Rehabil 2010;20:220–234." w:history="1">
        <w:r w:rsidRPr="0006137E">
          <w:rPr>
            <w:rStyle w:val="Hyperlink"/>
            <w:rFonts w:ascii="Constantia" w:hAnsi="Constantia"/>
            <w:color w:val="004B83"/>
            <w:sz w:val="28"/>
            <w:szCs w:val="28"/>
          </w:rPr>
          <w:t>8</w:t>
        </w:r>
      </w:hyperlink>
      <w:r w:rsidRPr="0006137E">
        <w:rPr>
          <w:rFonts w:ascii="Constantia" w:hAnsi="Constantia"/>
          <w:sz w:val="28"/>
          <w:szCs w:val="28"/>
        </w:rPr>
        <w:t>,</w:t>
      </w:r>
      <w:hyperlink r:id="rId53" w:anchor="ref-CR9" w:tooltip="Beevis D, Slade IM. Ergonomics – costs and benefits. Appl Ergon. 2003;34:413–8." w:history="1">
        <w:r w:rsidRPr="0006137E">
          <w:rPr>
            <w:rStyle w:val="Hyperlink"/>
            <w:rFonts w:ascii="Constantia" w:hAnsi="Constantia"/>
            <w:color w:val="004B83"/>
            <w:sz w:val="28"/>
            <w:szCs w:val="28"/>
          </w:rPr>
          <w:t>9</w:t>
        </w:r>
      </w:hyperlink>
      <w:r w:rsidRPr="0006137E">
        <w:rPr>
          <w:rFonts w:ascii="Constantia" w:hAnsi="Constantia"/>
          <w:sz w:val="28"/>
          <w:szCs w:val="28"/>
        </w:rPr>
        <w:t>,</w:t>
      </w:r>
      <w:hyperlink r:id="rId54" w:anchor="ref-CR10" w:tooltip="Goggins RW, Spielholz P, Nothstein GL. Estimating the effectiveness of ergonomics interventions through case studies: implications for predictive cost-benefit analysis. J Saf Res. 2008;39:339–44." w:history="1">
        <w:r w:rsidRPr="0006137E">
          <w:rPr>
            <w:rStyle w:val="Hyperlink"/>
            <w:rFonts w:ascii="Constantia" w:hAnsi="Constantia"/>
            <w:color w:val="004B83"/>
            <w:sz w:val="28"/>
            <w:szCs w:val="28"/>
          </w:rPr>
          <w:t>10</w:t>
        </w:r>
      </w:hyperlink>
      <w:r w:rsidRPr="0006137E">
        <w:rPr>
          <w:rFonts w:ascii="Constantia" w:hAnsi="Constantia"/>
          <w:sz w:val="28"/>
          <w:szCs w:val="28"/>
        </w:rPr>
        <w:t>];</w:t>
      </w:r>
    </w:p>
    <w:p w:rsidR="0006137E" w:rsidRPr="0006137E" w:rsidRDefault="0006137E" w:rsidP="0006137E">
      <w:pPr>
        <w:pStyle w:val="NormalWeb"/>
        <w:numPr>
          <w:ilvl w:val="0"/>
          <w:numId w:val="3"/>
        </w:numPr>
        <w:spacing w:before="0" w:beforeAutospacing="0" w:after="0" w:afterAutospacing="0"/>
        <w:jc w:val="both"/>
        <w:rPr>
          <w:rFonts w:ascii="Constantia" w:hAnsi="Constantia"/>
          <w:sz w:val="28"/>
          <w:szCs w:val="28"/>
        </w:rPr>
      </w:pPr>
      <w:r w:rsidRPr="0006137E">
        <w:rPr>
          <w:rFonts w:ascii="Constantia" w:hAnsi="Constantia"/>
          <w:sz w:val="28"/>
          <w:szCs w:val="28"/>
        </w:rPr>
        <w:t>Balancing of job demands and job control [</w:t>
      </w:r>
      <w:hyperlink r:id="rId55" w:anchor="ref-CR21" w:tooltip="de Jonge J, Bosma H, Peter R, Siegrist J. Job strain, effort-reward imbalance and employee well-being: a large-scale cross-sectional study. Soc Sci Med. 2000;50:1317–27." w:history="1">
        <w:r w:rsidRPr="0006137E">
          <w:rPr>
            <w:rStyle w:val="Hyperlink"/>
            <w:rFonts w:ascii="Constantia" w:hAnsi="Constantia"/>
            <w:color w:val="004B83"/>
            <w:sz w:val="28"/>
            <w:szCs w:val="28"/>
          </w:rPr>
          <w:t>21</w:t>
        </w:r>
      </w:hyperlink>
      <w:r w:rsidRPr="0006137E">
        <w:rPr>
          <w:rFonts w:ascii="Constantia" w:hAnsi="Constantia"/>
          <w:sz w:val="28"/>
          <w:szCs w:val="28"/>
        </w:rPr>
        <w:t>, </w:t>
      </w:r>
      <w:hyperlink r:id="rId56" w:anchor="ref-CR22" w:tooltip="van der Doef M, Maes S. The job demand-control(−support) model and physical health outcomes: a review of the strain and buffer hypotheses. Psychol Health. 1998;13:909–36." w:history="1">
        <w:r w:rsidRPr="0006137E">
          <w:rPr>
            <w:rStyle w:val="Hyperlink"/>
            <w:rFonts w:ascii="Constantia" w:hAnsi="Constantia"/>
            <w:color w:val="004B83"/>
            <w:sz w:val="28"/>
            <w:szCs w:val="28"/>
          </w:rPr>
          <w:t>22</w:t>
        </w:r>
      </w:hyperlink>
      <w:r w:rsidRPr="0006137E">
        <w:rPr>
          <w:rFonts w:ascii="Constantia" w:hAnsi="Constantia"/>
          <w:sz w:val="28"/>
          <w:szCs w:val="28"/>
        </w:rPr>
        <w:t>];</w:t>
      </w:r>
    </w:p>
    <w:p w:rsidR="0006137E" w:rsidRPr="0006137E" w:rsidRDefault="0006137E" w:rsidP="0006137E">
      <w:pPr>
        <w:pStyle w:val="NormalWeb"/>
        <w:numPr>
          <w:ilvl w:val="0"/>
          <w:numId w:val="3"/>
        </w:numPr>
        <w:spacing w:before="0" w:beforeAutospacing="0" w:after="0" w:afterAutospacing="0"/>
        <w:jc w:val="both"/>
        <w:rPr>
          <w:rFonts w:ascii="Constantia" w:hAnsi="Constantia"/>
          <w:sz w:val="28"/>
          <w:szCs w:val="28"/>
        </w:rPr>
      </w:pPr>
      <w:r w:rsidRPr="0006137E">
        <w:rPr>
          <w:rFonts w:ascii="Constantia" w:hAnsi="Constantia"/>
          <w:sz w:val="28"/>
          <w:szCs w:val="28"/>
        </w:rPr>
        <w:t>Rotation of tasks to break the boring monotony [</w:t>
      </w:r>
      <w:hyperlink r:id="rId57" w:anchor="ref-CR23" w:tooltip="Rissén D, Melin B, Sandsjö L, Dohns I, Lundberg U. Psychophysiological stress reactions, trapezius muscle activity, and neck and shoulder pain among female cashiers before and after introduction of job rotation. Work &amp; Stress. 2002;16(2):127–37." w:history="1">
        <w:r w:rsidRPr="0006137E">
          <w:rPr>
            <w:rStyle w:val="Hyperlink"/>
            <w:rFonts w:ascii="Constantia" w:hAnsi="Constantia"/>
            <w:color w:val="004B83"/>
            <w:sz w:val="28"/>
            <w:szCs w:val="28"/>
          </w:rPr>
          <w:t>23</w:t>
        </w:r>
      </w:hyperlink>
      <w:r w:rsidRPr="0006137E">
        <w:rPr>
          <w:rFonts w:ascii="Constantia" w:hAnsi="Constantia"/>
          <w:sz w:val="28"/>
          <w:szCs w:val="28"/>
        </w:rPr>
        <w:t>,</w:t>
      </w:r>
      <w:hyperlink r:id="rId58" w:anchor="ref-CR24" w:tooltip="Oparanma AO, Nwaeke LI. Impact of job rotation on organizational performance. British Journal of Economics, Management &amp; Trade. 2015;7(3):183–7." w:history="1">
        <w:r w:rsidRPr="0006137E">
          <w:rPr>
            <w:rStyle w:val="Hyperlink"/>
            <w:rFonts w:ascii="Constantia" w:hAnsi="Constantia"/>
            <w:color w:val="004B83"/>
            <w:sz w:val="28"/>
            <w:szCs w:val="28"/>
          </w:rPr>
          <w:t>24</w:t>
        </w:r>
      </w:hyperlink>
      <w:r w:rsidRPr="0006137E">
        <w:rPr>
          <w:rFonts w:ascii="Constantia" w:hAnsi="Constantia"/>
          <w:sz w:val="28"/>
          <w:szCs w:val="28"/>
        </w:rPr>
        <w:t>,</w:t>
      </w:r>
      <w:hyperlink r:id="rId59" w:anchor="ref-CR25" w:tooltip="Mohsan F, Musarrat Nawaz M, Sarfraz Khan M. Impact of job rotation on employee motivation, commitment and job involvement in banking sector of Pakistan. African Journal of Business Management. 2012;6(24):7114–9." w:history="1">
        <w:r w:rsidRPr="0006137E">
          <w:rPr>
            <w:rStyle w:val="Hyperlink"/>
            <w:rFonts w:ascii="Constantia" w:hAnsi="Constantia"/>
            <w:color w:val="004B83"/>
            <w:sz w:val="28"/>
            <w:szCs w:val="28"/>
          </w:rPr>
          <w:t>25</w:t>
        </w:r>
      </w:hyperlink>
      <w:r w:rsidRPr="0006137E">
        <w:rPr>
          <w:rFonts w:ascii="Constantia" w:hAnsi="Constantia"/>
          <w:sz w:val="28"/>
          <w:szCs w:val="28"/>
        </w:rPr>
        <w:t>];</w:t>
      </w:r>
    </w:p>
    <w:p w:rsidR="0006137E" w:rsidRPr="0006137E" w:rsidRDefault="0006137E" w:rsidP="0006137E">
      <w:pPr>
        <w:pStyle w:val="NormalWeb"/>
        <w:numPr>
          <w:ilvl w:val="0"/>
          <w:numId w:val="3"/>
        </w:numPr>
        <w:spacing w:before="0" w:beforeAutospacing="0" w:after="0" w:afterAutospacing="0"/>
        <w:jc w:val="both"/>
        <w:rPr>
          <w:rFonts w:ascii="Constantia" w:hAnsi="Constantia"/>
          <w:sz w:val="28"/>
          <w:szCs w:val="28"/>
        </w:rPr>
      </w:pPr>
      <w:r w:rsidRPr="0006137E">
        <w:rPr>
          <w:rFonts w:ascii="Constantia" w:hAnsi="Constantia"/>
          <w:sz w:val="28"/>
          <w:szCs w:val="28"/>
        </w:rPr>
        <w:t>Career opportunity as an important psychosocial reward [</w:t>
      </w:r>
      <w:hyperlink r:id="rId60" w:anchor="ref-CR18" w:tooltip="Tsutsumi A, Kawakami N. A review of empirical studies on the model of effort – reward imbalance at work: reducing occupational stress by implementing a new theory. Soc Sci Med. 2004;59:2335–59." w:history="1">
        <w:r w:rsidRPr="0006137E">
          <w:rPr>
            <w:rStyle w:val="Hyperlink"/>
            <w:rFonts w:ascii="Constantia" w:hAnsi="Constantia"/>
            <w:color w:val="004B83"/>
            <w:sz w:val="28"/>
            <w:szCs w:val="28"/>
          </w:rPr>
          <w:t>18</w:t>
        </w:r>
      </w:hyperlink>
      <w:r w:rsidRPr="0006137E">
        <w:rPr>
          <w:rFonts w:ascii="Constantia" w:hAnsi="Constantia"/>
          <w:sz w:val="28"/>
          <w:szCs w:val="28"/>
        </w:rPr>
        <w:t>, </w:t>
      </w:r>
      <w:hyperlink r:id="rId61" w:anchor="ref-CR26" w:tooltip="van Vegchel N, de Jonge J, Bakker AB, Schaufeli WB. Testing global and specific indicators of rewards in the effort – reward imbalance model: does it make any difference? European Journal of Work and Organizational Psychology. 2002;11:403–21." w:history="1">
        <w:r w:rsidRPr="0006137E">
          <w:rPr>
            <w:rStyle w:val="Hyperlink"/>
            <w:rFonts w:ascii="Constantia" w:hAnsi="Constantia"/>
            <w:color w:val="004B83"/>
            <w:sz w:val="28"/>
            <w:szCs w:val="28"/>
          </w:rPr>
          <w:t>26</w:t>
        </w:r>
      </w:hyperlink>
      <w:r w:rsidRPr="0006137E">
        <w:rPr>
          <w:rFonts w:ascii="Constantia" w:hAnsi="Constantia"/>
          <w:sz w:val="28"/>
          <w:szCs w:val="28"/>
        </w:rPr>
        <w:t>];</w:t>
      </w:r>
    </w:p>
    <w:p w:rsidR="0006137E" w:rsidRPr="0006137E" w:rsidRDefault="0006137E" w:rsidP="0006137E">
      <w:pPr>
        <w:pStyle w:val="NormalWeb"/>
        <w:numPr>
          <w:ilvl w:val="0"/>
          <w:numId w:val="3"/>
        </w:numPr>
        <w:spacing w:before="0" w:beforeAutospacing="0" w:after="0" w:afterAutospacing="0"/>
        <w:jc w:val="both"/>
        <w:rPr>
          <w:rFonts w:ascii="Constantia" w:hAnsi="Constantia"/>
          <w:sz w:val="28"/>
          <w:szCs w:val="28"/>
        </w:rPr>
      </w:pPr>
      <w:r w:rsidRPr="0006137E">
        <w:rPr>
          <w:rFonts w:ascii="Constantia" w:hAnsi="Constantia"/>
          <w:sz w:val="28"/>
          <w:szCs w:val="28"/>
        </w:rPr>
        <w:t>Appreciating and rewarding employees’ challenging work [</w:t>
      </w:r>
      <w:hyperlink r:id="rId62" w:anchor="ref-CR18" w:tooltip="Tsutsumi A, Kawakami N. A review of empirical studies on the model of effort – reward imbalance at work: reducing occupational stress by implementing a new theory. Soc Sci Med. 2004;59:2335–59." w:history="1">
        <w:r w:rsidRPr="0006137E">
          <w:rPr>
            <w:rStyle w:val="Hyperlink"/>
            <w:rFonts w:ascii="Constantia" w:hAnsi="Constantia"/>
            <w:color w:val="004B83"/>
            <w:sz w:val="28"/>
            <w:szCs w:val="28"/>
          </w:rPr>
          <w:t>18</w:t>
        </w:r>
      </w:hyperlink>
      <w:r w:rsidRPr="0006137E">
        <w:rPr>
          <w:rFonts w:ascii="Constantia" w:hAnsi="Constantia"/>
          <w:sz w:val="28"/>
          <w:szCs w:val="28"/>
        </w:rPr>
        <w:t>, </w:t>
      </w:r>
      <w:hyperlink r:id="rId63" w:anchor="ref-CR21" w:tooltip="de Jonge J, Bosma H, Peter R, Siegrist J. Job strain, effort-reward imbalance and employee well-being: a large-scale cross-sectional study. Soc Sci Med. 2000;50:1317–27." w:history="1">
        <w:r w:rsidRPr="0006137E">
          <w:rPr>
            <w:rStyle w:val="Hyperlink"/>
            <w:rFonts w:ascii="Constantia" w:hAnsi="Constantia"/>
            <w:color w:val="004B83"/>
            <w:sz w:val="28"/>
            <w:szCs w:val="28"/>
          </w:rPr>
          <w:t>21</w:t>
        </w:r>
      </w:hyperlink>
      <w:r w:rsidRPr="0006137E">
        <w:rPr>
          <w:rFonts w:ascii="Constantia" w:hAnsi="Constantia"/>
          <w:sz w:val="28"/>
          <w:szCs w:val="28"/>
        </w:rPr>
        <w:t>, </w:t>
      </w:r>
      <w:hyperlink r:id="rId64" w:anchor="ref-CR27" w:tooltip="van Vegchel N, de Jonge J, Bosma H, Schaufeli W. Reviewing the effort – reward imbalance model: drawing up the balance of 45 empirical studies. Soc Sci Med. 2005;60:1117–31." w:history="1">
        <w:r w:rsidRPr="0006137E">
          <w:rPr>
            <w:rStyle w:val="Hyperlink"/>
            <w:rFonts w:ascii="Constantia" w:hAnsi="Constantia"/>
            <w:color w:val="004B83"/>
            <w:sz w:val="28"/>
            <w:szCs w:val="28"/>
          </w:rPr>
          <w:t>27</w:t>
        </w:r>
      </w:hyperlink>
      <w:r w:rsidRPr="0006137E">
        <w:rPr>
          <w:rFonts w:ascii="Constantia" w:hAnsi="Constantia"/>
          <w:sz w:val="28"/>
          <w:szCs w:val="28"/>
        </w:rPr>
        <w:t>, </w:t>
      </w:r>
      <w:hyperlink r:id="rId65" w:anchor="ref-CR28" w:tooltip="Li J, Yang W, Siegrist J, Cho S. Effort-reward imbalance at work and job dissatisfaction in Chinese healthcare workers: a validation study. Int Arch Occup Environ Health. 2005;78:198–204." w:history="1">
        <w:r w:rsidRPr="0006137E">
          <w:rPr>
            <w:rStyle w:val="Hyperlink"/>
            <w:rFonts w:ascii="Constantia" w:hAnsi="Constantia"/>
            <w:color w:val="004B83"/>
            <w:sz w:val="28"/>
            <w:szCs w:val="28"/>
          </w:rPr>
          <w:t>28</w:t>
        </w:r>
      </w:hyperlink>
      <w:r w:rsidRPr="0006137E">
        <w:rPr>
          <w:rFonts w:ascii="Constantia" w:hAnsi="Constantia"/>
          <w:sz w:val="28"/>
          <w:szCs w:val="28"/>
        </w:rPr>
        <w:t>];</w:t>
      </w:r>
    </w:p>
    <w:p w:rsidR="0006137E" w:rsidRPr="0006137E" w:rsidRDefault="0006137E" w:rsidP="0006137E">
      <w:pPr>
        <w:pStyle w:val="NormalWeb"/>
        <w:numPr>
          <w:ilvl w:val="0"/>
          <w:numId w:val="3"/>
        </w:numPr>
        <w:spacing w:before="0" w:beforeAutospacing="0" w:after="0" w:afterAutospacing="0"/>
        <w:jc w:val="both"/>
        <w:rPr>
          <w:rFonts w:ascii="Constantia" w:hAnsi="Constantia"/>
          <w:sz w:val="28"/>
          <w:szCs w:val="28"/>
        </w:rPr>
      </w:pPr>
      <w:r w:rsidRPr="0006137E">
        <w:rPr>
          <w:rFonts w:ascii="Constantia" w:hAnsi="Constantia"/>
          <w:sz w:val="28"/>
          <w:szCs w:val="28"/>
        </w:rPr>
        <w:t>Perceived organizational and supervisor support [</w:t>
      </w:r>
      <w:hyperlink r:id="rId66" w:anchor="ref-CR19" w:tooltip="Rhoades L, Eisenberger R. Perceived organizational support: a review of the literature. J Appl Psychol. 2002;87:698–714." w:history="1">
        <w:r w:rsidRPr="0006137E">
          <w:rPr>
            <w:rStyle w:val="Hyperlink"/>
            <w:rFonts w:ascii="Constantia" w:hAnsi="Constantia"/>
            <w:color w:val="004B83"/>
            <w:sz w:val="28"/>
            <w:szCs w:val="28"/>
          </w:rPr>
          <w:t>19</w:t>
        </w:r>
      </w:hyperlink>
      <w:r w:rsidRPr="0006137E">
        <w:rPr>
          <w:rFonts w:ascii="Constantia" w:hAnsi="Constantia"/>
          <w:sz w:val="28"/>
          <w:szCs w:val="28"/>
        </w:rPr>
        <w:t>];</w:t>
      </w:r>
    </w:p>
    <w:p w:rsidR="0006137E" w:rsidRPr="0006137E" w:rsidRDefault="0006137E" w:rsidP="0006137E">
      <w:pPr>
        <w:pStyle w:val="NormalWeb"/>
        <w:numPr>
          <w:ilvl w:val="0"/>
          <w:numId w:val="3"/>
        </w:numPr>
        <w:spacing w:before="0" w:beforeAutospacing="0" w:after="0" w:afterAutospacing="0"/>
        <w:jc w:val="both"/>
        <w:rPr>
          <w:rFonts w:ascii="Constantia" w:hAnsi="Constantia"/>
          <w:sz w:val="28"/>
          <w:szCs w:val="28"/>
        </w:rPr>
      </w:pPr>
      <w:r w:rsidRPr="0006137E">
        <w:rPr>
          <w:rFonts w:ascii="Constantia" w:hAnsi="Constantia"/>
          <w:sz w:val="28"/>
          <w:szCs w:val="28"/>
        </w:rPr>
        <w:t>Adequate earnings and job security [</w:t>
      </w:r>
      <w:hyperlink r:id="rId67" w:anchor="ref-CR29" w:tooltip="Ajila C, Abiola A. Influence Of rewards on workers performance in an organisation. J Soc Sci. 2004;8:7–12." w:history="1">
        <w:r w:rsidRPr="0006137E">
          <w:rPr>
            <w:rStyle w:val="Hyperlink"/>
            <w:rFonts w:ascii="Constantia" w:hAnsi="Constantia"/>
            <w:color w:val="004B83"/>
            <w:sz w:val="28"/>
            <w:szCs w:val="28"/>
          </w:rPr>
          <w:t>29</w:t>
        </w:r>
      </w:hyperlink>
      <w:r w:rsidRPr="0006137E">
        <w:rPr>
          <w:rFonts w:ascii="Constantia" w:hAnsi="Constantia"/>
          <w:sz w:val="28"/>
          <w:szCs w:val="28"/>
        </w:rPr>
        <w:t>].</w:t>
      </w:r>
    </w:p>
    <w:p w:rsidR="0006137E" w:rsidRPr="0006137E" w:rsidRDefault="0006137E" w:rsidP="0006137E">
      <w:pPr>
        <w:pStyle w:val="NormalWeb"/>
        <w:numPr>
          <w:ilvl w:val="0"/>
          <w:numId w:val="3"/>
        </w:numPr>
        <w:spacing w:before="0" w:beforeAutospacing="0" w:after="0" w:afterAutospacing="0"/>
        <w:jc w:val="both"/>
        <w:rPr>
          <w:rFonts w:ascii="Constantia" w:hAnsi="Constantia"/>
          <w:sz w:val="28"/>
          <w:szCs w:val="28"/>
        </w:rPr>
      </w:pPr>
      <w:r w:rsidRPr="0006137E">
        <w:rPr>
          <w:rFonts w:ascii="Constantia" w:hAnsi="Constantia"/>
          <w:sz w:val="28"/>
          <w:szCs w:val="28"/>
        </w:rPr>
        <w:t>The objective of this article is to assess the socio-economic consequences of an employer’s efforts to improve the above-mentioned environmental factors at the workplace. This includes the addressing of several issues: the marginal effects of the multifactorial efforts on labour efficiency, work impairments, and lost working hours; the marginal cost of labour inefficiency; and the economic benefits of the employer’s efforts.</w:t>
      </w:r>
    </w:p>
    <w:p w:rsidR="0006137E" w:rsidRPr="00614123" w:rsidRDefault="0006137E" w:rsidP="0006137E">
      <w:pPr>
        <w:pStyle w:val="Heading2"/>
        <w:pBdr>
          <w:bottom w:val="single" w:sz="12" w:space="6" w:color="D5D5D5"/>
        </w:pBdr>
        <w:spacing w:before="0"/>
        <w:jc w:val="both"/>
        <w:rPr>
          <w:rFonts w:ascii="Constantia" w:hAnsi="Constantia"/>
          <w:color w:val="1B3051"/>
          <w:sz w:val="40"/>
          <w:szCs w:val="40"/>
        </w:rPr>
      </w:pPr>
      <w:r w:rsidRPr="00614123">
        <w:rPr>
          <w:rFonts w:ascii="Constantia" w:hAnsi="Constantia"/>
          <w:color w:val="1B3051"/>
          <w:sz w:val="40"/>
          <w:szCs w:val="40"/>
        </w:rPr>
        <w:lastRenderedPageBreak/>
        <w:t>Methods</w:t>
      </w:r>
      <w:r w:rsidR="00614123">
        <w:rPr>
          <w:rFonts w:ascii="Constantia" w:hAnsi="Constantia"/>
          <w:color w:val="1B3051"/>
          <w:sz w:val="40"/>
          <w:szCs w:val="40"/>
        </w:rPr>
        <w:t>:</w:t>
      </w:r>
    </w:p>
    <w:p w:rsidR="0006137E" w:rsidRPr="00614123" w:rsidRDefault="0006137E" w:rsidP="0006137E">
      <w:pPr>
        <w:pStyle w:val="Heading3"/>
        <w:spacing w:before="0" w:after="120"/>
        <w:jc w:val="both"/>
        <w:rPr>
          <w:rFonts w:ascii="Constantia" w:hAnsi="Constantia" w:cs="Segoe UI"/>
          <w:b w:val="0"/>
          <w:bCs w:val="0"/>
          <w:color w:val="222222"/>
          <w:sz w:val="28"/>
          <w:szCs w:val="28"/>
        </w:rPr>
      </w:pPr>
      <w:r w:rsidRPr="00614123">
        <w:rPr>
          <w:rFonts w:ascii="Constantia" w:hAnsi="Constantia" w:cs="Segoe UI"/>
          <w:b w:val="0"/>
          <w:bCs w:val="0"/>
          <w:color w:val="222222"/>
          <w:sz w:val="28"/>
          <w:szCs w:val="28"/>
        </w:rPr>
        <w:t>Data collection and basic concepts</w:t>
      </w:r>
    </w:p>
    <w:p w:rsidR="0006137E" w:rsidRDefault="0006137E" w:rsidP="0006137E">
      <w:pPr>
        <w:pStyle w:val="NormalWeb"/>
        <w:spacing w:before="0" w:beforeAutospacing="0" w:after="0" w:afterAutospacing="0"/>
        <w:jc w:val="both"/>
        <w:rPr>
          <w:rFonts w:ascii="Constantia" w:hAnsi="Constantia"/>
          <w:sz w:val="32"/>
          <w:szCs w:val="32"/>
        </w:rPr>
      </w:pPr>
      <w:r w:rsidRPr="00614123">
        <w:rPr>
          <w:rFonts w:ascii="Constantia" w:hAnsi="Constantia"/>
          <w:sz w:val="32"/>
          <w:szCs w:val="32"/>
        </w:rPr>
        <w:t>All data used in this study were collected from a work environmental survey in the main plant of the Swedish company Sandvik Materials Technology (SMT) during May 2015. The collected dataset included data about work capacity, work performance, and work quality in addition to data on lost working hours due to sickness absenteeism and presenteeism. The employer’s efforts to improve the work environment are described in Table </w:t>
      </w:r>
      <w:hyperlink r:id="rId68" w:anchor="Tab1" w:history="1">
        <w:r w:rsidRPr="00614123">
          <w:rPr>
            <w:rStyle w:val="Hyperlink"/>
            <w:rFonts w:ascii="Constantia" w:hAnsi="Constantia"/>
            <w:color w:val="004B83"/>
            <w:sz w:val="32"/>
            <w:szCs w:val="32"/>
          </w:rPr>
          <w:t>1</w:t>
        </w:r>
      </w:hyperlink>
      <w:r w:rsidRPr="00614123">
        <w:rPr>
          <w:rFonts w:ascii="Constantia" w:hAnsi="Constantia"/>
          <w:sz w:val="32"/>
          <w:szCs w:val="32"/>
        </w:rPr>
        <w:t> in terms of psychosocial, ergonomic, and physical factors.</w:t>
      </w:r>
    </w:p>
    <w:p w:rsidR="00614123" w:rsidRPr="00614123" w:rsidRDefault="00614123" w:rsidP="00614123">
      <w:pPr>
        <w:pStyle w:val="NormalWeb"/>
        <w:shd w:val="clear" w:color="auto" w:fill="FFFFFF"/>
        <w:spacing w:before="0" w:beforeAutospacing="0" w:after="0" w:afterAutospacing="0"/>
        <w:jc w:val="both"/>
        <w:rPr>
          <w:rFonts w:ascii="Constantia" w:hAnsi="Constantia"/>
          <w:color w:val="333333"/>
          <w:sz w:val="28"/>
          <w:szCs w:val="28"/>
        </w:rPr>
      </w:pPr>
      <w:r w:rsidRPr="00614123">
        <w:rPr>
          <w:rFonts w:ascii="Constantia" w:hAnsi="Constantia"/>
          <w:color w:val="333333"/>
          <w:sz w:val="28"/>
          <w:szCs w:val="28"/>
        </w:rPr>
        <w:t>A total of 49 workers participated anonymously in the study. Most of them were involved with manufacturing and were sufficient qualified for and experienced in their tasks. Some of the collected data have been used previously in other studies [</w:t>
      </w:r>
      <w:hyperlink r:id="rId69" w:anchor="ref-CR1" w:tooltip="Rezagholi M, Bantekas A. Making economic social decisions for improving occupational health – a predictive cost-benefit analysis. Occup Med Health Aff. 2015;3:6. &#10;                    https://doi.org/10.4172/2329-6879.1000225&#10;                    &#10;                  ." w:history="1">
        <w:r w:rsidRPr="00614123">
          <w:rPr>
            <w:rStyle w:val="Hyperlink"/>
            <w:rFonts w:ascii="Constantia" w:hAnsi="Constantia"/>
            <w:color w:val="004B83"/>
            <w:sz w:val="28"/>
            <w:szCs w:val="28"/>
          </w:rPr>
          <w:t>1</w:t>
        </w:r>
      </w:hyperlink>
      <w:r w:rsidRPr="00614123">
        <w:rPr>
          <w:rFonts w:ascii="Constantia" w:hAnsi="Constantia"/>
          <w:color w:val="333333"/>
          <w:sz w:val="28"/>
          <w:szCs w:val="28"/>
        </w:rPr>
        <w:t>, </w:t>
      </w:r>
      <w:hyperlink r:id="rId70" w:anchor="ref-CR2" w:tooltip="Rezagholi M. Differential socio-economic effects of work environmental risk factors. Journal of Health &amp; Medical Economics. 2016;2(2:9):1–8. &#10;                    http://health-medical-economics.imedpub.com/differential-socioeconomic-effects-of-work-environmental-risk-factors.pdf&#10;                    &#10;                  " w:history="1">
        <w:r w:rsidRPr="00614123">
          <w:rPr>
            <w:rStyle w:val="Hyperlink"/>
            <w:rFonts w:ascii="Constantia" w:hAnsi="Constantia"/>
            <w:color w:val="004B83"/>
            <w:sz w:val="28"/>
            <w:szCs w:val="28"/>
          </w:rPr>
          <w:t>2</w:t>
        </w:r>
      </w:hyperlink>
      <w:r w:rsidRPr="00614123">
        <w:rPr>
          <w:rFonts w:ascii="Constantia" w:hAnsi="Constantia"/>
          <w:color w:val="333333"/>
          <w:sz w:val="28"/>
          <w:szCs w:val="28"/>
        </w:rPr>
        <w:t>, </w:t>
      </w:r>
      <w:hyperlink r:id="rId71" w:anchor="ref-CR17" w:tooltip="Rezagholi M. Economic decisions on proposed work environmental studies – a theory for cost and value of information. Science Journal of Public Health. 2016;4:11–9. &#10;                    https://doi.org/10.11648/j.sjph.20160401.12&#10;                    &#10;                  ." w:history="1">
        <w:r w:rsidRPr="00614123">
          <w:rPr>
            <w:rStyle w:val="Hyperlink"/>
            <w:rFonts w:ascii="Constantia" w:hAnsi="Constantia"/>
            <w:color w:val="004B83"/>
            <w:sz w:val="28"/>
            <w:szCs w:val="28"/>
          </w:rPr>
          <w:t>17</w:t>
        </w:r>
      </w:hyperlink>
      <w:r w:rsidRPr="00614123">
        <w:rPr>
          <w:rFonts w:ascii="Constantia" w:hAnsi="Constantia"/>
          <w:color w:val="333333"/>
          <w:sz w:val="28"/>
          <w:szCs w:val="28"/>
        </w:rPr>
        <w:t>]. The questionnaire, which was distributed to the workers by the SMT safety unit during April 2015, was based on the Harvard questionnaire (</w:t>
      </w:r>
      <w:hyperlink r:id="rId72" w:history="1">
        <w:r w:rsidRPr="00614123">
          <w:rPr>
            <w:rStyle w:val="Hyperlink"/>
            <w:rFonts w:ascii="Constantia" w:hAnsi="Constantia"/>
            <w:color w:val="004B83"/>
            <w:sz w:val="28"/>
            <w:szCs w:val="28"/>
          </w:rPr>
          <w:t>http://www.hcp.med.harvard.edu/hpq/ftpdir/absenteeism%20presenteeism%20scoring%20050107.pdf</w:t>
        </w:r>
      </w:hyperlink>
      <w:r w:rsidRPr="00614123">
        <w:rPr>
          <w:rFonts w:ascii="Constantia" w:hAnsi="Constantia"/>
          <w:color w:val="333333"/>
          <w:sz w:val="28"/>
          <w:szCs w:val="28"/>
        </w:rPr>
        <w:t>), (</w:t>
      </w:r>
      <w:hyperlink r:id="rId73" w:history="1">
        <w:r w:rsidRPr="00614123">
          <w:rPr>
            <w:rStyle w:val="Hyperlink"/>
            <w:rFonts w:ascii="Constantia" w:hAnsi="Constantia"/>
            <w:color w:val="004B83"/>
            <w:sz w:val="28"/>
            <w:szCs w:val="28"/>
          </w:rPr>
          <w:t>http://www.hcp.med.harvard.edu/hpq/ftpdir/survey_clinical_7day.pdf</w:t>
        </w:r>
      </w:hyperlink>
      <w:r w:rsidRPr="00614123">
        <w:rPr>
          <w:rFonts w:ascii="Constantia" w:hAnsi="Constantia"/>
          <w:color w:val="333333"/>
          <w:sz w:val="28"/>
          <w:szCs w:val="28"/>
        </w:rPr>
        <w:t>), knowledge of Swedish workplaces and the Swedish labour market, and findings from the literature. As the employer’s multifactorial </w:t>
      </w:r>
      <w:r w:rsidRPr="00614123">
        <w:rPr>
          <w:rFonts w:ascii="Constantia" w:hAnsi="Constantia"/>
          <w:i/>
          <w:iCs/>
          <w:color w:val="333333"/>
          <w:sz w:val="28"/>
          <w:szCs w:val="28"/>
        </w:rPr>
        <w:t>efforts</w:t>
      </w:r>
      <w:r w:rsidRPr="00614123">
        <w:rPr>
          <w:rFonts w:ascii="Constantia" w:hAnsi="Constantia"/>
          <w:color w:val="333333"/>
          <w:sz w:val="28"/>
          <w:szCs w:val="28"/>
        </w:rPr>
        <w:t> to improve the work environment (EE) was difficult to assess directly, workers’ </w:t>
      </w:r>
      <w:r w:rsidRPr="00614123">
        <w:rPr>
          <w:rFonts w:ascii="Constantia" w:hAnsi="Constantia"/>
          <w:i/>
          <w:iCs/>
          <w:color w:val="333333"/>
          <w:sz w:val="28"/>
          <w:szCs w:val="28"/>
        </w:rPr>
        <w:t>satisfaction</w:t>
      </w:r>
      <w:r w:rsidRPr="00614123">
        <w:rPr>
          <w:rFonts w:ascii="Constantia" w:hAnsi="Constantia"/>
          <w:color w:val="333333"/>
          <w:sz w:val="28"/>
          <w:szCs w:val="28"/>
        </w:rPr>
        <w:t> with the employer’s efforts was used as an </w:t>
      </w:r>
      <w:r w:rsidRPr="00614123">
        <w:rPr>
          <w:rFonts w:ascii="Constantia" w:hAnsi="Constantia"/>
          <w:i/>
          <w:iCs/>
          <w:color w:val="333333"/>
          <w:sz w:val="28"/>
          <w:szCs w:val="28"/>
        </w:rPr>
        <w:t>indicator</w:t>
      </w:r>
      <w:r w:rsidRPr="00614123">
        <w:rPr>
          <w:rFonts w:ascii="Constantia" w:hAnsi="Constantia"/>
          <w:color w:val="333333"/>
          <w:sz w:val="28"/>
          <w:szCs w:val="28"/>
        </w:rPr>
        <w:t xml:space="preserve"> of the level of these efforts in SMT. In the survey, the workers were asked to evaluate their physical, ergonomic, and psychological work environment. The workers were also asked to answer how they perceived their employer’s multifactorial efforts to improve the work environment. The answers would be in percent. To avoid missing and confusing answers, the participants answered the questions while the supervisor was in attendance. Then, the employer’s efforts were identical to the workers’ satisfaction with these efforts. For instance, if the workers were 70% satisfied with their employer’s </w:t>
      </w:r>
      <w:r w:rsidRPr="00614123">
        <w:rPr>
          <w:rFonts w:ascii="Constantia" w:hAnsi="Constantia"/>
          <w:color w:val="333333"/>
          <w:sz w:val="28"/>
          <w:szCs w:val="28"/>
        </w:rPr>
        <w:lastRenderedPageBreak/>
        <w:t>efforts to improve the ergonomic work conditions, the efforts were assessed to be 70% of their potential level.</w:t>
      </w:r>
    </w:p>
    <w:p w:rsidR="00614123" w:rsidRPr="00614123" w:rsidRDefault="00614123" w:rsidP="00614123">
      <w:pPr>
        <w:pStyle w:val="NormalWeb"/>
        <w:shd w:val="clear" w:color="auto" w:fill="FFFFFF"/>
        <w:spacing w:before="0" w:beforeAutospacing="0" w:after="0" w:afterAutospacing="0"/>
        <w:jc w:val="both"/>
        <w:rPr>
          <w:rFonts w:ascii="Constantia" w:hAnsi="Constantia"/>
          <w:color w:val="333333"/>
          <w:sz w:val="28"/>
          <w:szCs w:val="28"/>
        </w:rPr>
      </w:pPr>
      <w:r w:rsidRPr="00614123">
        <w:rPr>
          <w:rFonts w:ascii="Constantia" w:hAnsi="Constantia"/>
          <w:color w:val="333333"/>
          <w:sz w:val="28"/>
          <w:szCs w:val="28"/>
        </w:rPr>
        <w:t>The other basic concepts were:</w:t>
      </w:r>
    </w:p>
    <w:p w:rsidR="00614123" w:rsidRPr="00614123" w:rsidRDefault="00614123" w:rsidP="00614123">
      <w:pPr>
        <w:pStyle w:val="NormalWeb"/>
        <w:shd w:val="clear" w:color="auto" w:fill="FFFFFF"/>
        <w:spacing w:before="0" w:beforeAutospacing="0" w:after="0" w:afterAutospacing="0"/>
        <w:jc w:val="both"/>
        <w:rPr>
          <w:rFonts w:ascii="Constantia" w:hAnsi="Constantia"/>
          <w:color w:val="333333"/>
          <w:sz w:val="28"/>
          <w:szCs w:val="28"/>
        </w:rPr>
      </w:pPr>
      <w:r>
        <w:rPr>
          <w:rFonts w:ascii="Constantia" w:hAnsi="Constantia"/>
          <w:i/>
          <w:iCs/>
          <w:color w:val="333333"/>
          <w:sz w:val="28"/>
          <w:szCs w:val="28"/>
        </w:rPr>
        <w:t xml:space="preserve">               </w:t>
      </w:r>
      <w:r w:rsidRPr="00614123">
        <w:rPr>
          <w:rFonts w:ascii="Constantia" w:hAnsi="Constantia"/>
          <w:i/>
          <w:iCs/>
          <w:color w:val="333333"/>
          <w:sz w:val="28"/>
          <w:szCs w:val="28"/>
        </w:rPr>
        <w:t>Overall labour effectiveness</w:t>
      </w:r>
      <w:r w:rsidRPr="00614123">
        <w:rPr>
          <w:rFonts w:ascii="Constantia" w:hAnsi="Constantia"/>
          <w:color w:val="333333"/>
          <w:sz w:val="28"/>
          <w:szCs w:val="28"/>
        </w:rPr>
        <w:t> (OLE) defined as a product of the workforce </w:t>
      </w:r>
      <w:r w:rsidRPr="00614123">
        <w:rPr>
          <w:rFonts w:ascii="Constantia" w:hAnsi="Constantia"/>
          <w:i/>
          <w:iCs/>
          <w:color w:val="333333"/>
          <w:sz w:val="28"/>
          <w:szCs w:val="28"/>
        </w:rPr>
        <w:t>availability</w:t>
      </w:r>
      <w:r w:rsidRPr="00614123">
        <w:rPr>
          <w:rFonts w:ascii="Constantia" w:hAnsi="Constantia"/>
          <w:color w:val="333333"/>
          <w:sz w:val="28"/>
          <w:szCs w:val="28"/>
        </w:rPr>
        <w:t>, </w:t>
      </w:r>
      <w:r w:rsidRPr="00614123">
        <w:rPr>
          <w:rFonts w:ascii="Constantia" w:hAnsi="Constantia"/>
          <w:i/>
          <w:iCs/>
          <w:color w:val="333333"/>
          <w:sz w:val="28"/>
          <w:szCs w:val="28"/>
        </w:rPr>
        <w:t>work performance</w:t>
      </w:r>
      <w:r w:rsidRPr="00614123">
        <w:rPr>
          <w:rFonts w:ascii="Constantia" w:hAnsi="Constantia"/>
          <w:color w:val="333333"/>
          <w:sz w:val="28"/>
          <w:szCs w:val="28"/>
        </w:rPr>
        <w:t>, and </w:t>
      </w:r>
      <w:r w:rsidRPr="00614123">
        <w:rPr>
          <w:rFonts w:ascii="Constantia" w:hAnsi="Constantia"/>
          <w:i/>
          <w:iCs/>
          <w:color w:val="333333"/>
          <w:sz w:val="28"/>
          <w:szCs w:val="28"/>
        </w:rPr>
        <w:t>work quality</w:t>
      </w:r>
      <w:r w:rsidRPr="00614123">
        <w:rPr>
          <w:rFonts w:ascii="Constantia" w:hAnsi="Constantia"/>
          <w:color w:val="333333"/>
          <w:sz w:val="28"/>
          <w:szCs w:val="28"/>
        </w:rPr>
        <w:t>, measured in percentage units according to the following formula:</w:t>
      </w:r>
    </w:p>
    <w:p w:rsidR="00614123" w:rsidRDefault="00614123" w:rsidP="00614123">
      <w:pPr>
        <w:shd w:val="clear" w:color="auto" w:fill="FFFFFF"/>
        <w:jc w:val="both"/>
        <w:textAlignment w:val="center"/>
        <w:rPr>
          <w:rStyle w:val="mjxassistivemathml"/>
          <w:rFonts w:ascii="Constantia" w:hAnsi="Constantia"/>
          <w:color w:val="333333"/>
          <w:sz w:val="28"/>
          <w:szCs w:val="28"/>
          <w:bdr w:val="none" w:sz="0" w:space="0" w:color="auto" w:frame="1"/>
        </w:rPr>
      </w:pPr>
      <w:r w:rsidRPr="00614123">
        <w:rPr>
          <w:rStyle w:val="mi"/>
          <w:rFonts w:ascii="Constantia" w:hAnsi="Constantia"/>
          <w:color w:val="333333"/>
          <w:sz w:val="32"/>
          <w:szCs w:val="32"/>
          <w:bdr w:val="none" w:sz="0" w:space="0" w:color="auto" w:frame="1"/>
        </w:rPr>
        <w:t>OLE</w:t>
      </w:r>
      <w:r w:rsidRPr="00614123">
        <w:rPr>
          <w:rStyle w:val="mo"/>
          <w:rFonts w:ascii="Constantia" w:hAnsi="Constantia"/>
          <w:color w:val="333333"/>
          <w:sz w:val="32"/>
          <w:szCs w:val="32"/>
          <w:bdr w:val="none" w:sz="0" w:space="0" w:color="auto" w:frame="1"/>
        </w:rPr>
        <w:t>=(</w:t>
      </w:r>
      <w:r w:rsidRPr="00614123">
        <w:rPr>
          <w:rStyle w:val="mi"/>
          <w:rFonts w:ascii="Constantia" w:hAnsi="Constantia"/>
          <w:color w:val="333333"/>
          <w:sz w:val="32"/>
          <w:szCs w:val="32"/>
          <w:bdr w:val="none" w:sz="0" w:space="0" w:color="auto" w:frame="1"/>
        </w:rPr>
        <w:t>actual</w:t>
      </w:r>
      <w:r w:rsidRPr="00614123">
        <w:rPr>
          <w:rStyle w:val="mtext"/>
          <w:rFonts w:ascii="Constantia" w:hAnsi="Constantia"/>
          <w:color w:val="333333"/>
          <w:sz w:val="32"/>
          <w:szCs w:val="32"/>
          <w:bdr w:val="none" w:sz="0" w:space="0" w:color="auto" w:frame="1"/>
        </w:rPr>
        <w:t> </w:t>
      </w:r>
      <w:r w:rsidRPr="00614123">
        <w:rPr>
          <w:rStyle w:val="mi"/>
          <w:rFonts w:ascii="Constantia" w:hAnsi="Constantia"/>
          <w:color w:val="333333"/>
          <w:sz w:val="32"/>
          <w:szCs w:val="32"/>
          <w:bdr w:val="none" w:sz="0" w:space="0" w:color="auto" w:frame="1"/>
        </w:rPr>
        <w:t>working</w:t>
      </w:r>
      <w:r w:rsidRPr="00614123">
        <w:rPr>
          <w:rStyle w:val="mtext"/>
          <w:rFonts w:ascii="Constantia" w:hAnsi="Constantia"/>
          <w:color w:val="333333"/>
          <w:sz w:val="32"/>
          <w:szCs w:val="32"/>
          <w:bdr w:val="none" w:sz="0" w:space="0" w:color="auto" w:frame="1"/>
        </w:rPr>
        <w:t> </w:t>
      </w:r>
      <w:r w:rsidRPr="00614123">
        <w:rPr>
          <w:rStyle w:val="mi"/>
          <w:rFonts w:ascii="Constantia" w:hAnsi="Constantia"/>
          <w:color w:val="333333"/>
          <w:sz w:val="32"/>
          <w:szCs w:val="32"/>
          <w:bdr w:val="none" w:sz="0" w:space="0" w:color="auto" w:frame="1"/>
        </w:rPr>
        <w:t>hoursscheduled</w:t>
      </w:r>
      <w:r w:rsidRPr="00614123">
        <w:rPr>
          <w:rStyle w:val="mtext"/>
          <w:rFonts w:ascii="Constantia" w:hAnsi="Constantia"/>
          <w:color w:val="333333"/>
          <w:sz w:val="32"/>
          <w:szCs w:val="32"/>
          <w:bdr w:val="none" w:sz="0" w:space="0" w:color="auto" w:frame="1"/>
        </w:rPr>
        <w:t> </w:t>
      </w:r>
      <w:r w:rsidRPr="00614123">
        <w:rPr>
          <w:rStyle w:val="mi"/>
          <w:rFonts w:ascii="Constantia" w:hAnsi="Constantia"/>
          <w:color w:val="333333"/>
          <w:sz w:val="32"/>
          <w:szCs w:val="32"/>
          <w:bdr w:val="none" w:sz="0" w:space="0" w:color="auto" w:frame="1"/>
        </w:rPr>
        <w:t>working</w:t>
      </w:r>
      <w:r w:rsidRPr="00614123">
        <w:rPr>
          <w:rStyle w:val="mtext"/>
          <w:rFonts w:ascii="Constantia" w:hAnsi="Constantia"/>
          <w:color w:val="333333"/>
          <w:sz w:val="32"/>
          <w:szCs w:val="32"/>
          <w:bdr w:val="none" w:sz="0" w:space="0" w:color="auto" w:frame="1"/>
        </w:rPr>
        <w:t> </w:t>
      </w:r>
      <w:r w:rsidRPr="00614123">
        <w:rPr>
          <w:rStyle w:val="mi"/>
          <w:rFonts w:ascii="Constantia" w:hAnsi="Constantia"/>
          <w:color w:val="333333"/>
          <w:sz w:val="32"/>
          <w:szCs w:val="32"/>
          <w:bdr w:val="none" w:sz="0" w:space="0" w:color="auto" w:frame="1"/>
        </w:rPr>
        <w:t>hours</w:t>
      </w:r>
      <w:r w:rsidRPr="00614123">
        <w:rPr>
          <w:rStyle w:val="mo"/>
          <w:rFonts w:ascii="Constantia" w:hAnsi="Constantia"/>
          <w:color w:val="333333"/>
          <w:sz w:val="32"/>
          <w:szCs w:val="32"/>
          <w:bdr w:val="none" w:sz="0" w:space="0" w:color="auto" w:frame="1"/>
        </w:rPr>
        <w:t>.</w:t>
      </w:r>
      <w:r w:rsidRPr="00614123">
        <w:rPr>
          <w:rStyle w:val="mi"/>
          <w:rFonts w:ascii="Constantia" w:hAnsi="Constantia"/>
          <w:color w:val="333333"/>
          <w:sz w:val="32"/>
          <w:szCs w:val="32"/>
          <w:bdr w:val="none" w:sz="0" w:space="0" w:color="auto" w:frame="1"/>
        </w:rPr>
        <w:t>actual</w:t>
      </w:r>
      <w:r w:rsidRPr="00614123">
        <w:rPr>
          <w:rStyle w:val="mtext"/>
          <w:rFonts w:ascii="Constantia" w:hAnsi="Constantia"/>
          <w:color w:val="333333"/>
          <w:sz w:val="32"/>
          <w:szCs w:val="32"/>
          <w:bdr w:val="none" w:sz="0" w:space="0" w:color="auto" w:frame="1"/>
        </w:rPr>
        <w:t> </w:t>
      </w:r>
      <w:r w:rsidRPr="00614123">
        <w:rPr>
          <w:rStyle w:val="mi"/>
          <w:rFonts w:ascii="Constantia" w:hAnsi="Constantia"/>
          <w:color w:val="333333"/>
          <w:sz w:val="32"/>
          <w:szCs w:val="32"/>
          <w:bdr w:val="none" w:sz="0" w:space="0" w:color="auto" w:frame="1"/>
        </w:rPr>
        <w:t>outputstandard</w:t>
      </w:r>
      <w:r w:rsidRPr="00614123">
        <w:rPr>
          <w:rStyle w:val="mtext"/>
          <w:rFonts w:ascii="Constantia" w:hAnsi="Constantia"/>
          <w:color w:val="333333"/>
          <w:sz w:val="32"/>
          <w:szCs w:val="32"/>
          <w:bdr w:val="none" w:sz="0" w:space="0" w:color="auto" w:frame="1"/>
        </w:rPr>
        <w:t> </w:t>
      </w:r>
      <w:r w:rsidRPr="00614123">
        <w:rPr>
          <w:rStyle w:val="mi"/>
          <w:rFonts w:ascii="Constantia" w:hAnsi="Constantia"/>
          <w:color w:val="333333"/>
          <w:sz w:val="32"/>
          <w:szCs w:val="32"/>
          <w:bdr w:val="none" w:sz="0" w:space="0" w:color="auto" w:frame="1"/>
        </w:rPr>
        <w:t>output</w:t>
      </w:r>
      <w:r w:rsidRPr="00614123">
        <w:rPr>
          <w:rStyle w:val="mo"/>
          <w:rFonts w:ascii="Constantia" w:hAnsi="Cambria Math" w:cs="Cambria Math"/>
          <w:color w:val="333333"/>
          <w:sz w:val="32"/>
          <w:szCs w:val="32"/>
          <w:bdr w:val="none" w:sz="0" w:space="0" w:color="auto" w:frame="1"/>
        </w:rPr>
        <w:t>⋅</w:t>
      </w:r>
      <w:r w:rsidRPr="00614123">
        <w:rPr>
          <w:rStyle w:val="mi"/>
          <w:rFonts w:ascii="Constantia" w:hAnsi="Constantia"/>
          <w:color w:val="333333"/>
          <w:sz w:val="32"/>
          <w:szCs w:val="32"/>
          <w:bdr w:val="none" w:sz="0" w:space="0" w:color="auto" w:frame="1"/>
        </w:rPr>
        <w:t>accepted</w:t>
      </w:r>
      <w:r w:rsidRPr="00614123">
        <w:rPr>
          <w:rStyle w:val="mtext"/>
          <w:rFonts w:ascii="Constantia" w:hAnsi="Constantia"/>
          <w:color w:val="333333"/>
          <w:sz w:val="32"/>
          <w:szCs w:val="32"/>
          <w:bdr w:val="none" w:sz="0" w:space="0" w:color="auto" w:frame="1"/>
        </w:rPr>
        <w:t> </w:t>
      </w:r>
      <w:r w:rsidRPr="00614123">
        <w:rPr>
          <w:rStyle w:val="mi"/>
          <w:rFonts w:ascii="Constantia" w:hAnsi="Constantia"/>
          <w:color w:val="333333"/>
          <w:sz w:val="32"/>
          <w:szCs w:val="32"/>
          <w:bdr w:val="none" w:sz="0" w:space="0" w:color="auto" w:frame="1"/>
        </w:rPr>
        <w:t>outputtotal</w:t>
      </w:r>
      <w:r w:rsidRPr="00614123">
        <w:rPr>
          <w:rStyle w:val="mtext"/>
          <w:rFonts w:ascii="Constantia" w:hAnsi="Constantia"/>
          <w:color w:val="333333"/>
          <w:sz w:val="32"/>
          <w:szCs w:val="32"/>
          <w:bdr w:val="none" w:sz="0" w:space="0" w:color="auto" w:frame="1"/>
        </w:rPr>
        <w:t> </w:t>
      </w:r>
      <w:r w:rsidRPr="00614123">
        <w:rPr>
          <w:rStyle w:val="mi"/>
          <w:rFonts w:ascii="Constantia" w:hAnsi="Constantia"/>
          <w:color w:val="333333"/>
          <w:sz w:val="32"/>
          <w:szCs w:val="32"/>
          <w:bdr w:val="none" w:sz="0" w:space="0" w:color="auto" w:frame="1"/>
        </w:rPr>
        <w:t>output</w:t>
      </w:r>
      <w:r w:rsidRPr="00614123">
        <w:rPr>
          <w:rStyle w:val="mo"/>
          <w:rFonts w:ascii="Constantia" w:hAnsi="Constantia"/>
          <w:color w:val="333333"/>
          <w:sz w:val="32"/>
          <w:szCs w:val="32"/>
          <w:bdr w:val="none" w:sz="0" w:space="0" w:color="auto" w:frame="1"/>
        </w:rPr>
        <w:t>)</w:t>
      </w:r>
      <w:r w:rsidRPr="00614123">
        <w:rPr>
          <w:rStyle w:val="mo"/>
          <w:rFonts w:ascii="Constantia" w:hAnsi="Cambria Math" w:cs="Cambria Math"/>
          <w:color w:val="333333"/>
          <w:sz w:val="32"/>
          <w:szCs w:val="32"/>
          <w:bdr w:val="none" w:sz="0" w:space="0" w:color="auto" w:frame="1"/>
        </w:rPr>
        <w:t>⋅</w:t>
      </w:r>
      <w:r w:rsidRPr="00614123">
        <w:rPr>
          <w:rStyle w:val="mn"/>
          <w:rFonts w:ascii="Constantia" w:hAnsi="Constantia"/>
          <w:color w:val="333333"/>
          <w:sz w:val="32"/>
          <w:szCs w:val="32"/>
          <w:bdr w:val="none" w:sz="0" w:space="0" w:color="auto" w:frame="1"/>
        </w:rPr>
        <w:t>100</w:t>
      </w:r>
      <w:r w:rsidRPr="00614123">
        <w:rPr>
          <w:rStyle w:val="mjxassistivemathml"/>
          <w:rFonts w:ascii="Constantia" w:hAnsi="Constantia"/>
          <w:color w:val="333333"/>
          <w:sz w:val="28"/>
          <w:szCs w:val="28"/>
          <w:bdr w:val="none" w:sz="0" w:space="0" w:color="auto" w:frame="1"/>
        </w:rPr>
        <w:t>OLE=(actual working hoursscheduled working hours.actual outputstandard output</w:t>
      </w:r>
      <w:r w:rsidRPr="00614123">
        <w:rPr>
          <w:rStyle w:val="mjxassistivemathml"/>
          <w:rFonts w:ascii="Constantia" w:hAnsi="Cambria Math" w:cs="Cambria Math"/>
          <w:color w:val="333333"/>
          <w:sz w:val="28"/>
          <w:szCs w:val="28"/>
          <w:bdr w:val="none" w:sz="0" w:space="0" w:color="auto" w:frame="1"/>
        </w:rPr>
        <w:t>⋅</w:t>
      </w:r>
      <w:r w:rsidRPr="00614123">
        <w:rPr>
          <w:rStyle w:val="mjxassistivemathml"/>
          <w:rFonts w:ascii="Constantia" w:hAnsi="Constantia"/>
          <w:color w:val="333333"/>
          <w:sz w:val="28"/>
          <w:szCs w:val="28"/>
          <w:bdr w:val="none" w:sz="0" w:space="0" w:color="auto" w:frame="1"/>
        </w:rPr>
        <w:t>accepted outputtotal output)</w:t>
      </w:r>
      <w:r w:rsidRPr="00614123">
        <w:rPr>
          <w:rStyle w:val="mjxassistivemathml"/>
          <w:rFonts w:ascii="Constantia" w:hAnsi="Cambria Math" w:cs="Cambria Math"/>
          <w:color w:val="333333"/>
          <w:sz w:val="28"/>
          <w:szCs w:val="28"/>
          <w:bdr w:val="none" w:sz="0" w:space="0" w:color="auto" w:frame="1"/>
        </w:rPr>
        <w:t>⋅</w:t>
      </w:r>
      <w:r w:rsidRPr="00614123">
        <w:rPr>
          <w:rStyle w:val="mjxassistivemathml"/>
          <w:rFonts w:ascii="Constantia" w:hAnsi="Constantia"/>
          <w:color w:val="333333"/>
          <w:sz w:val="28"/>
          <w:szCs w:val="28"/>
          <w:bdr w:val="none" w:sz="0" w:space="0" w:color="auto" w:frame="1"/>
        </w:rPr>
        <w:t>100</w:t>
      </w:r>
      <w:r>
        <w:rPr>
          <w:rStyle w:val="mjxassistivemathml"/>
          <w:rFonts w:ascii="Constantia" w:hAnsi="Constantia"/>
          <w:color w:val="333333"/>
          <w:sz w:val="28"/>
          <w:szCs w:val="28"/>
          <w:bdr w:val="none" w:sz="0" w:space="0" w:color="auto" w:frame="1"/>
        </w:rPr>
        <w:t xml:space="preserve">    </w:t>
      </w:r>
    </w:p>
    <w:p w:rsidR="00614123" w:rsidRPr="00614123" w:rsidRDefault="00614123" w:rsidP="00614123">
      <w:pPr>
        <w:shd w:val="clear" w:color="auto" w:fill="FFFFFF"/>
        <w:jc w:val="both"/>
        <w:textAlignment w:val="center"/>
        <w:rPr>
          <w:rFonts w:ascii="Constantia" w:hAnsi="Constantia"/>
          <w:color w:val="333333"/>
          <w:sz w:val="28"/>
          <w:szCs w:val="28"/>
        </w:rPr>
      </w:pPr>
      <w:r>
        <w:rPr>
          <w:rStyle w:val="mjxassistivemathml"/>
          <w:rFonts w:ascii="Constantia" w:hAnsi="Constantia"/>
          <w:color w:val="333333"/>
          <w:sz w:val="28"/>
          <w:szCs w:val="28"/>
          <w:bdr w:val="none" w:sz="0" w:space="0" w:color="auto" w:frame="1"/>
        </w:rPr>
        <w:t xml:space="preserve">                  </w:t>
      </w:r>
      <w:r w:rsidRPr="00614123">
        <w:rPr>
          <w:rFonts w:ascii="Constantia" w:hAnsi="Constantia"/>
          <w:color w:val="333333"/>
          <w:sz w:val="28"/>
          <w:szCs w:val="28"/>
        </w:rPr>
        <w:t>To assess the workforce availability, the workers were asked about their actual working hours compared to the scheduled working hours; to assess the work performance (i.e. the actual output divided to the standard output), the workers were asked about the achieved </w:t>
      </w:r>
      <w:r w:rsidRPr="00614123">
        <w:rPr>
          <w:rFonts w:ascii="Constantia" w:hAnsi="Constantia"/>
          <w:i/>
          <w:iCs/>
          <w:color w:val="333333"/>
          <w:sz w:val="28"/>
          <w:szCs w:val="28"/>
        </w:rPr>
        <w:t>quantitative requirements</w:t>
      </w:r>
      <w:r w:rsidRPr="00614123">
        <w:rPr>
          <w:rFonts w:ascii="Constantia" w:hAnsi="Constantia"/>
          <w:color w:val="333333"/>
          <w:sz w:val="28"/>
          <w:szCs w:val="28"/>
        </w:rPr>
        <w:t> of work in percent; and to assess the work quality (i.e. the accepted output divide to the total output), the workers were asked about the achieved </w:t>
      </w:r>
      <w:r w:rsidRPr="00614123">
        <w:rPr>
          <w:rFonts w:ascii="Constantia" w:hAnsi="Constantia"/>
          <w:i/>
          <w:iCs/>
          <w:color w:val="333333"/>
          <w:sz w:val="28"/>
          <w:szCs w:val="28"/>
        </w:rPr>
        <w:t>qualitative requirements</w:t>
      </w:r>
      <w:r w:rsidRPr="00614123">
        <w:rPr>
          <w:rFonts w:ascii="Constantia" w:hAnsi="Constantia"/>
          <w:color w:val="333333"/>
          <w:sz w:val="28"/>
          <w:szCs w:val="28"/>
        </w:rPr>
        <w:t> of work in percent. Both the company’s standard and the workers’ own judgements were considered in the assessments of the performance and the quality of work.</w:t>
      </w:r>
    </w:p>
    <w:p w:rsidR="00614123" w:rsidRPr="00614123" w:rsidRDefault="00614123" w:rsidP="00614123">
      <w:pPr>
        <w:pStyle w:val="NormalWeb"/>
        <w:shd w:val="clear" w:color="auto" w:fill="FFFFFF"/>
        <w:spacing w:before="0" w:beforeAutospacing="0" w:after="0" w:afterAutospacing="0"/>
        <w:jc w:val="both"/>
        <w:rPr>
          <w:rFonts w:ascii="Constantia" w:hAnsi="Constantia"/>
          <w:color w:val="333333"/>
          <w:sz w:val="28"/>
          <w:szCs w:val="28"/>
        </w:rPr>
      </w:pPr>
      <w:r>
        <w:rPr>
          <w:rFonts w:ascii="Constantia" w:hAnsi="Constantia"/>
          <w:color w:val="333333"/>
          <w:sz w:val="28"/>
          <w:szCs w:val="28"/>
        </w:rPr>
        <w:t xml:space="preserve">                    </w:t>
      </w:r>
      <w:r w:rsidRPr="00614123">
        <w:rPr>
          <w:rFonts w:ascii="Constantia" w:hAnsi="Constantia"/>
          <w:color w:val="333333"/>
          <w:sz w:val="28"/>
          <w:szCs w:val="28"/>
        </w:rPr>
        <w:t>Indirect costs of sickness absenteeism and presenteeism in terms of </w:t>
      </w:r>
      <w:r w:rsidRPr="00614123">
        <w:rPr>
          <w:rFonts w:ascii="Constantia" w:hAnsi="Constantia"/>
          <w:i/>
          <w:iCs/>
          <w:color w:val="333333"/>
          <w:sz w:val="28"/>
          <w:szCs w:val="28"/>
        </w:rPr>
        <w:t>lost working hours</w:t>
      </w:r>
      <w:r w:rsidRPr="00614123">
        <w:rPr>
          <w:rFonts w:ascii="Constantia" w:hAnsi="Constantia"/>
          <w:color w:val="333333"/>
          <w:sz w:val="28"/>
          <w:szCs w:val="28"/>
        </w:rPr>
        <w:t> and </w:t>
      </w:r>
      <w:r w:rsidRPr="00614123">
        <w:rPr>
          <w:rFonts w:ascii="Constantia" w:hAnsi="Constantia"/>
          <w:i/>
          <w:iCs/>
          <w:color w:val="333333"/>
          <w:sz w:val="28"/>
          <w:szCs w:val="28"/>
        </w:rPr>
        <w:t>decreased labour productivity</w:t>
      </w:r>
      <w:r w:rsidRPr="00614123">
        <w:rPr>
          <w:rFonts w:ascii="Constantia" w:hAnsi="Constantia"/>
          <w:color w:val="333333"/>
          <w:sz w:val="28"/>
          <w:szCs w:val="28"/>
        </w:rPr>
        <w:t>. The costs were assessed in the basis of the registered illness-related lost working hours, the workers’ judgements about their working hours they worked at reduced work ability due to the environmental failures at the workplace, the national median wages, the rate of work interdependence, and the rate of unemployment and monopsony power [</w:t>
      </w:r>
      <w:hyperlink r:id="rId74" w:anchor="ref-CR1" w:tooltip="Rezagholi M, Bantekas A. Making economic social decisions for improving occupational health – a predictive cost-benefit analysis. Occup Med Health Aff. 2015;3:6. &#10;                    https://doi.org/10.4172/2329-6879.1000225&#10;                    &#10;                  ." w:history="1">
        <w:r w:rsidRPr="00614123">
          <w:rPr>
            <w:rStyle w:val="Hyperlink"/>
            <w:rFonts w:ascii="Constantia" w:hAnsi="Constantia"/>
            <w:color w:val="004B83"/>
            <w:sz w:val="28"/>
            <w:szCs w:val="28"/>
          </w:rPr>
          <w:t>1</w:t>
        </w:r>
      </w:hyperlink>
      <w:r w:rsidRPr="00614123">
        <w:rPr>
          <w:rFonts w:ascii="Constantia" w:hAnsi="Constantia"/>
          <w:color w:val="333333"/>
          <w:sz w:val="28"/>
          <w:szCs w:val="28"/>
        </w:rPr>
        <w:t>].</w:t>
      </w:r>
    </w:p>
    <w:p w:rsidR="00614123" w:rsidRPr="00614123" w:rsidRDefault="00614123" w:rsidP="00614123">
      <w:pPr>
        <w:pStyle w:val="NormalWeb"/>
        <w:shd w:val="clear" w:color="auto" w:fill="FFFFFF"/>
        <w:spacing w:before="0" w:beforeAutospacing="0" w:after="0" w:afterAutospacing="0"/>
        <w:jc w:val="both"/>
        <w:rPr>
          <w:rFonts w:ascii="Constantia" w:hAnsi="Constantia"/>
          <w:color w:val="333333"/>
          <w:sz w:val="28"/>
          <w:szCs w:val="28"/>
        </w:rPr>
      </w:pPr>
      <w:r>
        <w:rPr>
          <w:rFonts w:ascii="Constantia" w:hAnsi="Constantia"/>
          <w:i/>
          <w:iCs/>
          <w:color w:val="333333"/>
          <w:sz w:val="28"/>
          <w:szCs w:val="28"/>
        </w:rPr>
        <w:t xml:space="preserve">                   </w:t>
      </w:r>
      <w:r w:rsidRPr="00614123">
        <w:rPr>
          <w:rFonts w:ascii="Constantia" w:hAnsi="Constantia"/>
          <w:i/>
          <w:iCs/>
          <w:color w:val="333333"/>
          <w:sz w:val="28"/>
          <w:szCs w:val="28"/>
        </w:rPr>
        <w:t>Informal work impairments</w:t>
      </w:r>
      <w:r w:rsidRPr="00614123">
        <w:rPr>
          <w:rFonts w:ascii="Constantia" w:hAnsi="Constantia"/>
          <w:color w:val="333333"/>
          <w:sz w:val="28"/>
          <w:szCs w:val="28"/>
        </w:rPr>
        <w:t>, which have previously been shown to be the largest source of the cost of work-related disorders in SMT [</w:t>
      </w:r>
      <w:hyperlink r:id="rId75" w:anchor="ref-CR1" w:tooltip="Rezagholi M, Bantekas A. Making economic social decisions for improving occupational health – a predictive cost-benefit analysis. Occup Med Health Aff. 2015;3:6. &#10;                    https://doi.org/10.4172/2329-6879.1000225&#10;                    &#10;                  ." w:history="1">
        <w:r w:rsidRPr="00614123">
          <w:rPr>
            <w:rStyle w:val="Hyperlink"/>
            <w:rFonts w:ascii="Constantia" w:hAnsi="Constantia"/>
            <w:color w:val="004B83"/>
            <w:sz w:val="28"/>
            <w:szCs w:val="28"/>
          </w:rPr>
          <w:t>1</w:t>
        </w:r>
      </w:hyperlink>
      <w:r w:rsidRPr="00614123">
        <w:rPr>
          <w:rFonts w:ascii="Constantia" w:hAnsi="Constantia"/>
          <w:color w:val="333333"/>
          <w:sz w:val="28"/>
          <w:szCs w:val="28"/>
        </w:rPr>
        <w:t>, </w:t>
      </w:r>
      <w:hyperlink r:id="rId76" w:anchor="ref-CR17" w:tooltip="Rezagholi M. Economic decisions on proposed work environmental studies – a theory for cost and value of information. Science Journal of Public Health. 2016;4:11–9. &#10;                    https://doi.org/10.11648/j.sjph.20160401.12&#10;                    &#10;                  ." w:history="1">
        <w:r w:rsidRPr="00614123">
          <w:rPr>
            <w:rStyle w:val="Hyperlink"/>
            <w:rFonts w:ascii="Constantia" w:hAnsi="Constantia"/>
            <w:color w:val="004B83"/>
            <w:sz w:val="28"/>
            <w:szCs w:val="28"/>
          </w:rPr>
          <w:t>17</w:t>
        </w:r>
      </w:hyperlink>
      <w:r w:rsidRPr="00614123">
        <w:rPr>
          <w:rFonts w:ascii="Constantia" w:hAnsi="Constantia"/>
          <w:color w:val="333333"/>
          <w:sz w:val="28"/>
          <w:szCs w:val="28"/>
        </w:rPr>
        <w:t xml:space="preserve">]. The company had registered data on the workers worked with reduced work ability in terms of part-time working, but not about the hours workers had been at work even though they, according to their health state, should had stayed at home. The non-registered work impairments were considered as </w:t>
      </w:r>
      <w:r w:rsidRPr="00614123">
        <w:rPr>
          <w:rFonts w:ascii="Constantia" w:hAnsi="Constantia"/>
          <w:color w:val="333333"/>
          <w:sz w:val="28"/>
          <w:szCs w:val="28"/>
        </w:rPr>
        <w:lastRenderedPageBreak/>
        <w:t>informal. The informal work impairments also contained the time workers worked at reduced work </w:t>
      </w:r>
      <w:r w:rsidRPr="00614123">
        <w:rPr>
          <w:rFonts w:ascii="Constantia" w:hAnsi="Constantia"/>
          <w:i/>
          <w:iCs/>
          <w:color w:val="333333"/>
          <w:sz w:val="28"/>
          <w:szCs w:val="28"/>
        </w:rPr>
        <w:t>interest</w:t>
      </w:r>
      <w:r w:rsidRPr="00614123">
        <w:rPr>
          <w:rFonts w:ascii="Constantia" w:hAnsi="Constantia"/>
          <w:color w:val="333333"/>
          <w:sz w:val="28"/>
          <w:szCs w:val="28"/>
        </w:rPr>
        <w:t> and </w:t>
      </w:r>
      <w:r w:rsidRPr="00614123">
        <w:rPr>
          <w:rFonts w:ascii="Constantia" w:hAnsi="Constantia"/>
          <w:i/>
          <w:iCs/>
          <w:color w:val="333333"/>
          <w:sz w:val="28"/>
          <w:szCs w:val="28"/>
        </w:rPr>
        <w:t>motivation</w:t>
      </w:r>
      <w:r w:rsidRPr="00614123">
        <w:rPr>
          <w:rFonts w:ascii="Constantia" w:hAnsi="Constantia"/>
          <w:color w:val="333333"/>
          <w:sz w:val="28"/>
          <w:szCs w:val="28"/>
        </w:rPr>
        <w:t> due to the failures in the entire work environment.</w:t>
      </w:r>
    </w:p>
    <w:p w:rsidR="00614123" w:rsidRPr="00614123" w:rsidRDefault="00614123" w:rsidP="00614123">
      <w:pPr>
        <w:pStyle w:val="Heading3"/>
        <w:shd w:val="clear" w:color="auto" w:fill="FFFFFF"/>
        <w:spacing w:before="360" w:after="120"/>
        <w:jc w:val="both"/>
        <w:rPr>
          <w:rFonts w:ascii="Constantia" w:hAnsi="Constantia" w:cs="Segoe UI"/>
          <w:b w:val="0"/>
          <w:bCs w:val="0"/>
          <w:color w:val="FFC000"/>
          <w:sz w:val="44"/>
          <w:szCs w:val="44"/>
        </w:rPr>
      </w:pPr>
      <w:r w:rsidRPr="00614123">
        <w:rPr>
          <w:rFonts w:ascii="Constantia" w:hAnsi="Constantia" w:cs="Segoe UI"/>
          <w:b w:val="0"/>
          <w:bCs w:val="0"/>
          <w:color w:val="FFC000"/>
          <w:sz w:val="40"/>
          <w:szCs w:val="40"/>
        </w:rPr>
        <w:t>Analytical tools</w:t>
      </w:r>
      <w:r>
        <w:rPr>
          <w:rFonts w:ascii="Constantia" w:hAnsi="Constantia" w:cs="Segoe UI"/>
          <w:b w:val="0"/>
          <w:bCs w:val="0"/>
          <w:color w:val="FFC000"/>
          <w:sz w:val="40"/>
          <w:szCs w:val="40"/>
        </w:rPr>
        <w:t>:</w:t>
      </w:r>
    </w:p>
    <w:p w:rsidR="00614123" w:rsidRPr="00614123" w:rsidRDefault="00614123" w:rsidP="00614123">
      <w:pPr>
        <w:pStyle w:val="NormalWeb"/>
        <w:shd w:val="clear" w:color="auto" w:fill="FFFFFF"/>
        <w:spacing w:before="0" w:beforeAutospacing="0" w:after="0" w:afterAutospacing="0"/>
        <w:jc w:val="both"/>
        <w:rPr>
          <w:rFonts w:ascii="Constantia" w:hAnsi="Constantia"/>
          <w:color w:val="333333"/>
          <w:sz w:val="28"/>
          <w:szCs w:val="28"/>
        </w:rPr>
      </w:pPr>
      <w:r>
        <w:rPr>
          <w:rFonts w:ascii="Constantia" w:hAnsi="Constantia"/>
          <w:color w:val="333333"/>
          <w:sz w:val="28"/>
          <w:szCs w:val="28"/>
        </w:rPr>
        <w:t xml:space="preserve">            </w:t>
      </w:r>
      <w:r w:rsidRPr="00614123">
        <w:rPr>
          <w:rFonts w:ascii="Constantia" w:hAnsi="Constantia"/>
          <w:color w:val="333333"/>
          <w:sz w:val="28"/>
          <w:szCs w:val="28"/>
        </w:rPr>
        <w:t>Five regression equations were used to analyse the socio-economic consequences of labour ineffectiveness and the employer’s efforts to improve the work environment in SMT from May 2014 to April 2015. The socio-economic consequences were assessed in terms of important econometric issues. First, two regression models were used to assess the economic cost of labour ineffectiveness, which is measured as 1 – OLE, and the economic benefit of the employer’s efforts to improve the work environment. Then, three regression models were employed to assess the marginal effects of the employer’s efforts on labour effectiveness, informal impairments, and illness-related lost working hours.</w:t>
      </w:r>
    </w:p>
    <w:p w:rsidR="00614123" w:rsidRPr="00614123" w:rsidRDefault="00614123" w:rsidP="00614123">
      <w:pPr>
        <w:pStyle w:val="NormalWeb"/>
        <w:shd w:val="clear" w:color="auto" w:fill="FFFFFF"/>
        <w:spacing w:before="0" w:beforeAutospacing="0" w:after="0" w:afterAutospacing="0"/>
        <w:jc w:val="both"/>
        <w:rPr>
          <w:rFonts w:ascii="Constantia" w:hAnsi="Constantia"/>
          <w:color w:val="333333"/>
          <w:sz w:val="28"/>
          <w:szCs w:val="28"/>
        </w:rPr>
      </w:pPr>
      <w:r w:rsidRPr="00614123">
        <w:rPr>
          <w:rFonts w:ascii="Constantia" w:hAnsi="Constantia"/>
          <w:color w:val="333333"/>
          <w:sz w:val="28"/>
          <w:szCs w:val="28"/>
        </w:rPr>
        <w:t>The economic cost of labour ineffectiveness (LIE) in terms of labour productivity loss (LPL) was assessed by:</w:t>
      </w:r>
    </w:p>
    <w:p w:rsidR="00614123" w:rsidRPr="00614123" w:rsidRDefault="00614123" w:rsidP="00614123">
      <w:pPr>
        <w:shd w:val="clear" w:color="auto" w:fill="FFFFFF"/>
        <w:jc w:val="both"/>
        <w:textAlignment w:val="center"/>
        <w:rPr>
          <w:rFonts w:ascii="Constantia" w:hAnsi="Constantia"/>
          <w:color w:val="333333"/>
          <w:sz w:val="28"/>
          <w:szCs w:val="28"/>
        </w:rPr>
      </w:pPr>
      <w:r w:rsidRPr="00614123">
        <w:rPr>
          <w:rStyle w:val="mi"/>
          <w:rFonts w:ascii="Constantia" w:hAnsi="Constantia"/>
          <w:color w:val="333333"/>
          <w:sz w:val="32"/>
          <w:szCs w:val="32"/>
          <w:bdr w:val="none" w:sz="0" w:space="0" w:color="auto" w:frame="1"/>
        </w:rPr>
        <w:t>LPL</w:t>
      </w:r>
      <w:r w:rsidRPr="00614123">
        <w:rPr>
          <w:rStyle w:val="mo"/>
          <w:rFonts w:ascii="Constantia" w:hAnsi="Constantia"/>
          <w:color w:val="333333"/>
          <w:sz w:val="32"/>
          <w:szCs w:val="32"/>
          <w:bdr w:val="none" w:sz="0" w:space="0" w:color="auto" w:frame="1"/>
        </w:rPr>
        <w:t>=</w:t>
      </w:r>
      <w:r w:rsidRPr="00614123">
        <w:rPr>
          <w:rStyle w:val="mtext"/>
          <w:rFonts w:ascii="Constantia" w:hAnsi="Constantia"/>
          <w:color w:val="333333"/>
          <w:sz w:val="28"/>
          <w:szCs w:val="28"/>
          <w:bdr w:val="none" w:sz="0" w:space="0" w:color="auto" w:frame="1"/>
        </w:rPr>
        <w:t>α</w:t>
      </w:r>
      <w:r w:rsidRPr="00614123">
        <w:rPr>
          <w:rStyle w:val="mn"/>
          <w:rFonts w:ascii="Constantia" w:hAnsi="Constantia"/>
          <w:color w:val="333333"/>
          <w:bdr w:val="none" w:sz="0" w:space="0" w:color="auto" w:frame="1"/>
        </w:rPr>
        <w:t>1</w:t>
      </w:r>
      <w:r w:rsidRPr="00614123">
        <w:rPr>
          <w:rStyle w:val="mo"/>
          <w:rFonts w:ascii="Constantia" w:hAnsi="Constantia"/>
          <w:color w:val="333333"/>
          <w:sz w:val="32"/>
          <w:szCs w:val="32"/>
          <w:bdr w:val="none" w:sz="0" w:space="0" w:color="auto" w:frame="1"/>
        </w:rPr>
        <w:t>+</w:t>
      </w:r>
      <w:r w:rsidRPr="00614123">
        <w:rPr>
          <w:rStyle w:val="mtext"/>
          <w:rFonts w:ascii="Constantia" w:hAnsi="Constantia"/>
          <w:color w:val="333333"/>
          <w:sz w:val="28"/>
          <w:szCs w:val="28"/>
          <w:bdr w:val="none" w:sz="0" w:space="0" w:color="auto" w:frame="1"/>
        </w:rPr>
        <w:t>β</w:t>
      </w:r>
      <w:r w:rsidRPr="00614123">
        <w:rPr>
          <w:rStyle w:val="mn"/>
          <w:rFonts w:ascii="Constantia" w:hAnsi="Constantia"/>
          <w:color w:val="333333"/>
          <w:bdr w:val="none" w:sz="0" w:space="0" w:color="auto" w:frame="1"/>
        </w:rPr>
        <w:t>2</w:t>
      </w:r>
      <w:r w:rsidRPr="00614123">
        <w:rPr>
          <w:rStyle w:val="mo"/>
          <w:rFonts w:ascii="Constantia" w:hAnsi="Cambria Math" w:cs="Cambria Math"/>
          <w:color w:val="333333"/>
          <w:sz w:val="32"/>
          <w:szCs w:val="32"/>
          <w:bdr w:val="none" w:sz="0" w:space="0" w:color="auto" w:frame="1"/>
        </w:rPr>
        <w:t>⋅</w:t>
      </w:r>
      <w:r w:rsidRPr="00614123">
        <w:rPr>
          <w:rStyle w:val="mi"/>
          <w:rFonts w:ascii="Constantia" w:hAnsi="Constantia"/>
          <w:color w:val="333333"/>
          <w:sz w:val="32"/>
          <w:szCs w:val="32"/>
          <w:bdr w:val="none" w:sz="0" w:space="0" w:color="auto" w:frame="1"/>
        </w:rPr>
        <w:t>LIE</w:t>
      </w:r>
      <w:r w:rsidRPr="00614123">
        <w:rPr>
          <w:rStyle w:val="mo"/>
          <w:rFonts w:ascii="Constantia" w:hAnsi="Constantia"/>
          <w:color w:val="333333"/>
          <w:sz w:val="32"/>
          <w:szCs w:val="32"/>
          <w:bdr w:val="none" w:sz="0" w:space="0" w:color="auto" w:frame="1"/>
        </w:rPr>
        <w:t>,</w:t>
      </w:r>
      <w:r w:rsidRPr="00614123">
        <w:rPr>
          <w:rStyle w:val="mjxassistivemathml"/>
          <w:rFonts w:ascii="Constantia" w:hAnsi="Constantia"/>
          <w:color w:val="333333"/>
          <w:sz w:val="28"/>
          <w:szCs w:val="28"/>
          <w:bdr w:val="none" w:sz="0" w:space="0" w:color="auto" w:frame="1"/>
        </w:rPr>
        <w:t>LPL=α1+β2</w:t>
      </w:r>
      <w:r w:rsidRPr="00614123">
        <w:rPr>
          <w:rStyle w:val="mjxassistivemathml"/>
          <w:rFonts w:ascii="Constantia" w:hAnsi="Cambria Math" w:cs="Cambria Math"/>
          <w:color w:val="333333"/>
          <w:sz w:val="28"/>
          <w:szCs w:val="28"/>
          <w:bdr w:val="none" w:sz="0" w:space="0" w:color="auto" w:frame="1"/>
        </w:rPr>
        <w:t>⋅</w:t>
      </w:r>
      <w:r w:rsidRPr="00614123">
        <w:rPr>
          <w:rStyle w:val="mjxassistivemathml"/>
          <w:rFonts w:ascii="Constantia" w:hAnsi="Constantia"/>
          <w:color w:val="333333"/>
          <w:sz w:val="28"/>
          <w:szCs w:val="28"/>
          <w:bdr w:val="none" w:sz="0" w:space="0" w:color="auto" w:frame="1"/>
        </w:rPr>
        <w:t>LIE</w:t>
      </w:r>
      <w:r>
        <w:rPr>
          <w:rStyle w:val="mjxassistivemathml"/>
          <w:rFonts w:ascii="Constantia" w:hAnsi="Constantia"/>
          <w:color w:val="333333"/>
          <w:sz w:val="28"/>
          <w:szCs w:val="28"/>
          <w:bdr w:val="none" w:sz="0" w:space="0" w:color="auto" w:frame="1"/>
        </w:rPr>
        <w:t xml:space="preserve"> </w:t>
      </w:r>
      <w:r w:rsidRPr="00614123">
        <w:rPr>
          <w:rFonts w:ascii="Constantia" w:hAnsi="Constantia"/>
          <w:color w:val="333333"/>
          <w:sz w:val="28"/>
          <w:szCs w:val="28"/>
        </w:rPr>
        <w:t>where LPL is expressed in terms of money, LIE is measured in percent, the intercept α</w:t>
      </w:r>
      <w:r w:rsidRPr="00614123">
        <w:rPr>
          <w:rFonts w:ascii="Constantia" w:hAnsi="Constantia"/>
          <w:color w:val="333333"/>
          <w:vertAlign w:val="subscript"/>
        </w:rPr>
        <w:t>1</w:t>
      </w:r>
      <w:r w:rsidRPr="00614123">
        <w:rPr>
          <w:rFonts w:ascii="Constantia" w:hAnsi="Constantia"/>
          <w:color w:val="333333"/>
          <w:sz w:val="28"/>
          <w:szCs w:val="28"/>
        </w:rPr>
        <w:t> is interpreted as the level of LPL independent of LIE, and β</w:t>
      </w:r>
      <w:r w:rsidRPr="00614123">
        <w:rPr>
          <w:rFonts w:ascii="Constantia" w:hAnsi="Constantia"/>
          <w:color w:val="333333"/>
          <w:vertAlign w:val="subscript"/>
        </w:rPr>
        <w:t>1</w:t>
      </w:r>
      <w:r w:rsidRPr="00614123">
        <w:rPr>
          <w:rFonts w:ascii="Constantia" w:hAnsi="Constantia"/>
          <w:color w:val="333333"/>
          <w:sz w:val="28"/>
          <w:szCs w:val="28"/>
        </w:rPr>
        <w:t> is the marginal cost of LIE (i.e. the cost of an additional percentage unit of LIE).</w:t>
      </w:r>
    </w:p>
    <w:p w:rsidR="00614123" w:rsidRPr="00614123" w:rsidRDefault="00614123" w:rsidP="00614123">
      <w:pPr>
        <w:pStyle w:val="NormalWeb"/>
        <w:shd w:val="clear" w:color="auto" w:fill="FFFFFF"/>
        <w:spacing w:before="0" w:beforeAutospacing="0" w:after="0" w:afterAutospacing="0"/>
        <w:jc w:val="both"/>
        <w:rPr>
          <w:rFonts w:ascii="Constantia" w:hAnsi="Constantia"/>
          <w:color w:val="333333"/>
          <w:sz w:val="28"/>
          <w:szCs w:val="28"/>
        </w:rPr>
      </w:pPr>
      <w:r>
        <w:rPr>
          <w:rFonts w:ascii="Constantia" w:hAnsi="Constantia"/>
          <w:color w:val="333333"/>
          <w:sz w:val="28"/>
          <w:szCs w:val="28"/>
        </w:rPr>
        <w:t xml:space="preserve">           </w:t>
      </w:r>
      <w:r w:rsidRPr="00614123">
        <w:rPr>
          <w:rFonts w:ascii="Constantia" w:hAnsi="Constantia"/>
          <w:color w:val="333333"/>
          <w:sz w:val="28"/>
          <w:szCs w:val="28"/>
        </w:rPr>
        <w:t>The economic benefit of the employer’s efforts to improve the work environment (EE) in terms of saving/decreasing labour productivity loss (LPL) was assessed by:</w:t>
      </w:r>
    </w:p>
    <w:p w:rsidR="00614123" w:rsidRPr="00614123" w:rsidRDefault="00614123" w:rsidP="00614123">
      <w:pPr>
        <w:shd w:val="clear" w:color="auto" w:fill="FFFFFF"/>
        <w:jc w:val="both"/>
        <w:textAlignment w:val="center"/>
        <w:rPr>
          <w:rFonts w:ascii="Constantia" w:hAnsi="Constantia"/>
          <w:color w:val="333333"/>
          <w:sz w:val="28"/>
          <w:szCs w:val="28"/>
        </w:rPr>
      </w:pPr>
      <w:r w:rsidRPr="00614123">
        <w:rPr>
          <w:rStyle w:val="mi"/>
          <w:rFonts w:ascii="Constantia" w:hAnsi="Constantia"/>
          <w:color w:val="333333"/>
          <w:sz w:val="32"/>
          <w:szCs w:val="32"/>
          <w:bdr w:val="none" w:sz="0" w:space="0" w:color="auto" w:frame="1"/>
        </w:rPr>
        <w:t>LPL</w:t>
      </w:r>
      <w:r w:rsidRPr="00614123">
        <w:rPr>
          <w:rStyle w:val="mo"/>
          <w:rFonts w:ascii="Constantia" w:hAnsi="Constantia"/>
          <w:color w:val="333333"/>
          <w:sz w:val="32"/>
          <w:szCs w:val="32"/>
          <w:bdr w:val="none" w:sz="0" w:space="0" w:color="auto" w:frame="1"/>
        </w:rPr>
        <w:t>=</w:t>
      </w:r>
      <w:r w:rsidRPr="00614123">
        <w:rPr>
          <w:rStyle w:val="mtext"/>
          <w:rFonts w:ascii="Constantia" w:hAnsi="Constantia"/>
          <w:color w:val="333333"/>
          <w:sz w:val="28"/>
          <w:szCs w:val="28"/>
          <w:bdr w:val="none" w:sz="0" w:space="0" w:color="auto" w:frame="1"/>
        </w:rPr>
        <w:t>α</w:t>
      </w:r>
      <w:r w:rsidRPr="00614123">
        <w:rPr>
          <w:rStyle w:val="mn"/>
          <w:rFonts w:ascii="Constantia" w:hAnsi="Constantia"/>
          <w:color w:val="333333"/>
          <w:bdr w:val="none" w:sz="0" w:space="0" w:color="auto" w:frame="1"/>
        </w:rPr>
        <w:t>2</w:t>
      </w:r>
      <w:r w:rsidRPr="00614123">
        <w:rPr>
          <w:rStyle w:val="mo"/>
          <w:rFonts w:ascii="Constantia" w:hAnsi="Constantia"/>
          <w:color w:val="333333"/>
          <w:sz w:val="32"/>
          <w:szCs w:val="32"/>
          <w:bdr w:val="none" w:sz="0" w:space="0" w:color="auto" w:frame="1"/>
        </w:rPr>
        <w:t>+</w:t>
      </w:r>
      <w:r w:rsidRPr="00614123">
        <w:rPr>
          <w:rStyle w:val="mtext"/>
          <w:rFonts w:ascii="Constantia" w:hAnsi="Constantia"/>
          <w:color w:val="333333"/>
          <w:sz w:val="28"/>
          <w:szCs w:val="28"/>
          <w:bdr w:val="none" w:sz="0" w:space="0" w:color="auto" w:frame="1"/>
        </w:rPr>
        <w:t>β</w:t>
      </w:r>
      <w:r w:rsidRPr="00614123">
        <w:rPr>
          <w:rStyle w:val="mn"/>
          <w:rFonts w:ascii="Constantia" w:hAnsi="Constantia"/>
          <w:color w:val="333333"/>
          <w:bdr w:val="none" w:sz="0" w:space="0" w:color="auto" w:frame="1"/>
        </w:rPr>
        <w:t>2</w:t>
      </w:r>
      <w:r w:rsidRPr="00614123">
        <w:rPr>
          <w:rStyle w:val="mo"/>
          <w:rFonts w:ascii="Constantia" w:hAnsi="Cambria Math" w:cs="Cambria Math"/>
          <w:color w:val="333333"/>
          <w:sz w:val="32"/>
          <w:szCs w:val="32"/>
          <w:bdr w:val="none" w:sz="0" w:space="0" w:color="auto" w:frame="1"/>
        </w:rPr>
        <w:t>⋅</w:t>
      </w:r>
      <w:r w:rsidRPr="00614123">
        <w:rPr>
          <w:rStyle w:val="mi"/>
          <w:rFonts w:ascii="Constantia" w:hAnsi="Constantia"/>
          <w:color w:val="333333"/>
          <w:sz w:val="32"/>
          <w:szCs w:val="32"/>
          <w:bdr w:val="none" w:sz="0" w:space="0" w:color="auto" w:frame="1"/>
        </w:rPr>
        <w:t>EE</w:t>
      </w:r>
      <w:r w:rsidRPr="00614123">
        <w:rPr>
          <w:rStyle w:val="mo"/>
          <w:rFonts w:ascii="Constantia" w:hAnsi="Constantia"/>
          <w:color w:val="333333"/>
          <w:sz w:val="32"/>
          <w:szCs w:val="32"/>
          <w:bdr w:val="none" w:sz="0" w:space="0" w:color="auto" w:frame="1"/>
        </w:rPr>
        <w:t>,</w:t>
      </w:r>
      <w:r w:rsidRPr="00614123">
        <w:rPr>
          <w:rStyle w:val="mjxassistivemathml"/>
          <w:rFonts w:ascii="Constantia" w:hAnsi="Constantia"/>
          <w:color w:val="333333"/>
          <w:sz w:val="28"/>
          <w:szCs w:val="28"/>
          <w:bdr w:val="none" w:sz="0" w:space="0" w:color="auto" w:frame="1"/>
        </w:rPr>
        <w:t>LPL=α2+β2</w:t>
      </w:r>
      <w:r w:rsidRPr="00614123">
        <w:rPr>
          <w:rStyle w:val="mjxassistivemathml"/>
          <w:rFonts w:ascii="Constantia" w:hAnsi="Cambria Math" w:cs="Cambria Math"/>
          <w:color w:val="333333"/>
          <w:sz w:val="28"/>
          <w:szCs w:val="28"/>
          <w:bdr w:val="none" w:sz="0" w:space="0" w:color="auto" w:frame="1"/>
        </w:rPr>
        <w:t>⋅</w:t>
      </w:r>
      <w:r w:rsidRPr="00614123">
        <w:rPr>
          <w:rStyle w:val="mjxassistivemathml"/>
          <w:rFonts w:ascii="Constantia" w:hAnsi="Constantia"/>
          <w:color w:val="333333"/>
          <w:sz w:val="28"/>
          <w:szCs w:val="28"/>
          <w:bdr w:val="none" w:sz="0" w:space="0" w:color="auto" w:frame="1"/>
        </w:rPr>
        <w:t>EE,</w:t>
      </w:r>
    </w:p>
    <w:p w:rsidR="00614123" w:rsidRPr="00614123" w:rsidRDefault="00614123" w:rsidP="00614123">
      <w:pPr>
        <w:pStyle w:val="NormalWeb"/>
        <w:shd w:val="clear" w:color="auto" w:fill="FFFFFF"/>
        <w:spacing w:before="0" w:beforeAutospacing="0" w:after="0" w:afterAutospacing="0"/>
        <w:jc w:val="both"/>
        <w:rPr>
          <w:rFonts w:ascii="Constantia" w:hAnsi="Constantia"/>
          <w:color w:val="333333"/>
          <w:sz w:val="28"/>
          <w:szCs w:val="28"/>
        </w:rPr>
      </w:pPr>
      <w:r>
        <w:rPr>
          <w:rFonts w:ascii="Constantia" w:hAnsi="Constantia"/>
          <w:color w:val="333333"/>
          <w:sz w:val="28"/>
          <w:szCs w:val="28"/>
        </w:rPr>
        <w:t xml:space="preserve">               </w:t>
      </w:r>
      <w:r w:rsidRPr="00614123">
        <w:rPr>
          <w:rFonts w:ascii="Constantia" w:hAnsi="Constantia"/>
          <w:color w:val="333333"/>
          <w:sz w:val="28"/>
          <w:szCs w:val="28"/>
        </w:rPr>
        <w:t>where the intercept α</w:t>
      </w:r>
      <w:r w:rsidRPr="00614123">
        <w:rPr>
          <w:rFonts w:ascii="Constantia" w:hAnsi="Constantia"/>
          <w:color w:val="333333"/>
          <w:sz w:val="22"/>
          <w:szCs w:val="22"/>
          <w:vertAlign w:val="subscript"/>
        </w:rPr>
        <w:t>2</w:t>
      </w:r>
      <w:r w:rsidRPr="00614123">
        <w:rPr>
          <w:rFonts w:ascii="Constantia" w:hAnsi="Constantia"/>
          <w:color w:val="333333"/>
          <w:sz w:val="28"/>
          <w:szCs w:val="28"/>
        </w:rPr>
        <w:t> is interpreted as the level of LPL independent of EE, and β</w:t>
      </w:r>
      <w:r w:rsidRPr="00614123">
        <w:rPr>
          <w:rFonts w:ascii="Constantia" w:hAnsi="Constantia"/>
          <w:color w:val="333333"/>
          <w:sz w:val="22"/>
          <w:szCs w:val="22"/>
          <w:vertAlign w:val="subscript"/>
        </w:rPr>
        <w:t>2</w:t>
      </w:r>
      <w:r w:rsidRPr="00614123">
        <w:rPr>
          <w:rFonts w:ascii="Constantia" w:hAnsi="Constantia"/>
          <w:color w:val="333333"/>
          <w:sz w:val="28"/>
          <w:szCs w:val="28"/>
        </w:rPr>
        <w:t> is the marginal benefits of EE in terms of reducing LPL (i.e. the economic benefit of increasing EE by one precentage unit).</w:t>
      </w:r>
    </w:p>
    <w:p w:rsidR="00614123" w:rsidRPr="00614123" w:rsidRDefault="00614123" w:rsidP="00614123">
      <w:pPr>
        <w:pStyle w:val="NormalWeb"/>
        <w:shd w:val="clear" w:color="auto" w:fill="FFFFFF"/>
        <w:spacing w:before="0" w:beforeAutospacing="0" w:after="0" w:afterAutospacing="0"/>
        <w:jc w:val="both"/>
        <w:rPr>
          <w:rFonts w:ascii="Constantia" w:hAnsi="Constantia"/>
          <w:color w:val="333333"/>
          <w:sz w:val="28"/>
          <w:szCs w:val="28"/>
        </w:rPr>
      </w:pPr>
      <w:r w:rsidRPr="00614123">
        <w:rPr>
          <w:rFonts w:ascii="Constantia" w:hAnsi="Constantia"/>
          <w:color w:val="333333"/>
          <w:sz w:val="28"/>
          <w:szCs w:val="28"/>
        </w:rPr>
        <w:t>The impact of the employer’s efforts to improve the work environment (EE) on overall labour effectiveness (OLE) was assessed by:</w:t>
      </w:r>
    </w:p>
    <w:p w:rsidR="00614123" w:rsidRPr="00614123" w:rsidRDefault="00614123" w:rsidP="00614123">
      <w:pPr>
        <w:shd w:val="clear" w:color="auto" w:fill="FFFFFF"/>
        <w:jc w:val="both"/>
        <w:textAlignment w:val="center"/>
        <w:rPr>
          <w:rFonts w:ascii="Constantia" w:hAnsi="Constantia"/>
          <w:color w:val="333333"/>
          <w:sz w:val="28"/>
          <w:szCs w:val="28"/>
        </w:rPr>
      </w:pPr>
      <w:r w:rsidRPr="00614123">
        <w:rPr>
          <w:rStyle w:val="mi"/>
          <w:rFonts w:ascii="Constantia" w:hAnsi="Constantia"/>
          <w:color w:val="333333"/>
          <w:sz w:val="32"/>
          <w:szCs w:val="32"/>
          <w:bdr w:val="none" w:sz="0" w:space="0" w:color="auto" w:frame="1"/>
        </w:rPr>
        <w:t>OLE</w:t>
      </w:r>
      <w:r w:rsidRPr="00614123">
        <w:rPr>
          <w:rStyle w:val="mo"/>
          <w:rFonts w:ascii="Constantia" w:hAnsi="Constantia"/>
          <w:color w:val="333333"/>
          <w:sz w:val="32"/>
          <w:szCs w:val="32"/>
          <w:bdr w:val="none" w:sz="0" w:space="0" w:color="auto" w:frame="1"/>
        </w:rPr>
        <w:t>=</w:t>
      </w:r>
      <w:r w:rsidRPr="00614123">
        <w:rPr>
          <w:rStyle w:val="mtext"/>
          <w:rFonts w:ascii="Constantia" w:hAnsi="Constantia"/>
          <w:color w:val="333333"/>
          <w:sz w:val="28"/>
          <w:szCs w:val="28"/>
          <w:bdr w:val="none" w:sz="0" w:space="0" w:color="auto" w:frame="1"/>
        </w:rPr>
        <w:t>α</w:t>
      </w:r>
      <w:r w:rsidRPr="00614123">
        <w:rPr>
          <w:rStyle w:val="mn"/>
          <w:rFonts w:ascii="Constantia" w:hAnsi="Constantia"/>
          <w:color w:val="333333"/>
          <w:bdr w:val="none" w:sz="0" w:space="0" w:color="auto" w:frame="1"/>
        </w:rPr>
        <w:t>3</w:t>
      </w:r>
      <w:r w:rsidRPr="00614123">
        <w:rPr>
          <w:rStyle w:val="mo"/>
          <w:rFonts w:ascii="Constantia" w:hAnsi="Constantia"/>
          <w:color w:val="333333"/>
          <w:sz w:val="32"/>
          <w:szCs w:val="32"/>
          <w:bdr w:val="none" w:sz="0" w:space="0" w:color="auto" w:frame="1"/>
        </w:rPr>
        <w:t>+</w:t>
      </w:r>
      <w:r w:rsidRPr="00614123">
        <w:rPr>
          <w:rStyle w:val="mtext"/>
          <w:rFonts w:ascii="Constantia" w:hAnsi="Constantia"/>
          <w:color w:val="333333"/>
          <w:sz w:val="28"/>
          <w:szCs w:val="28"/>
          <w:bdr w:val="none" w:sz="0" w:space="0" w:color="auto" w:frame="1"/>
        </w:rPr>
        <w:t>β</w:t>
      </w:r>
      <w:r w:rsidRPr="00614123">
        <w:rPr>
          <w:rStyle w:val="mn"/>
          <w:rFonts w:ascii="Constantia" w:hAnsi="Constantia"/>
          <w:color w:val="333333"/>
          <w:bdr w:val="none" w:sz="0" w:space="0" w:color="auto" w:frame="1"/>
        </w:rPr>
        <w:t>3</w:t>
      </w:r>
      <w:r w:rsidRPr="00614123">
        <w:rPr>
          <w:rStyle w:val="mo"/>
          <w:rFonts w:ascii="Constantia" w:hAnsi="Cambria Math" w:cs="Cambria Math"/>
          <w:color w:val="333333"/>
          <w:sz w:val="32"/>
          <w:szCs w:val="32"/>
          <w:bdr w:val="none" w:sz="0" w:space="0" w:color="auto" w:frame="1"/>
        </w:rPr>
        <w:t>⋅</w:t>
      </w:r>
      <w:r w:rsidRPr="00614123">
        <w:rPr>
          <w:rStyle w:val="mi"/>
          <w:rFonts w:ascii="Constantia" w:hAnsi="Constantia"/>
          <w:color w:val="333333"/>
          <w:sz w:val="32"/>
          <w:szCs w:val="32"/>
          <w:bdr w:val="none" w:sz="0" w:space="0" w:color="auto" w:frame="1"/>
        </w:rPr>
        <w:t>EE</w:t>
      </w:r>
      <w:r w:rsidRPr="00614123">
        <w:rPr>
          <w:rStyle w:val="mo"/>
          <w:rFonts w:ascii="Constantia" w:hAnsi="Constantia"/>
          <w:color w:val="333333"/>
          <w:sz w:val="32"/>
          <w:szCs w:val="32"/>
          <w:bdr w:val="none" w:sz="0" w:space="0" w:color="auto" w:frame="1"/>
        </w:rPr>
        <w:t>,</w:t>
      </w:r>
      <w:r w:rsidRPr="00614123">
        <w:rPr>
          <w:rStyle w:val="mjxassistivemathml"/>
          <w:rFonts w:ascii="Constantia" w:hAnsi="Constantia"/>
          <w:color w:val="333333"/>
          <w:sz w:val="28"/>
          <w:szCs w:val="28"/>
          <w:bdr w:val="none" w:sz="0" w:space="0" w:color="auto" w:frame="1"/>
        </w:rPr>
        <w:t>OLE=α3+β3</w:t>
      </w:r>
      <w:r w:rsidRPr="00614123">
        <w:rPr>
          <w:rStyle w:val="mjxassistivemathml"/>
          <w:rFonts w:ascii="Constantia" w:hAnsi="Cambria Math" w:cs="Cambria Math"/>
          <w:color w:val="333333"/>
          <w:sz w:val="28"/>
          <w:szCs w:val="28"/>
          <w:bdr w:val="none" w:sz="0" w:space="0" w:color="auto" w:frame="1"/>
        </w:rPr>
        <w:t>⋅</w:t>
      </w:r>
      <w:r w:rsidRPr="00614123">
        <w:rPr>
          <w:rStyle w:val="mjxassistivemathml"/>
          <w:rFonts w:ascii="Constantia" w:hAnsi="Constantia"/>
          <w:color w:val="333333"/>
          <w:sz w:val="28"/>
          <w:szCs w:val="28"/>
          <w:bdr w:val="none" w:sz="0" w:space="0" w:color="auto" w:frame="1"/>
        </w:rPr>
        <w:t>EE,</w:t>
      </w:r>
    </w:p>
    <w:p w:rsidR="00614123" w:rsidRPr="00614123" w:rsidRDefault="00614123" w:rsidP="00614123">
      <w:pPr>
        <w:pStyle w:val="NormalWeb"/>
        <w:shd w:val="clear" w:color="auto" w:fill="FFFFFF"/>
        <w:spacing w:before="0" w:beforeAutospacing="0" w:after="0" w:afterAutospacing="0"/>
        <w:jc w:val="both"/>
        <w:rPr>
          <w:rFonts w:ascii="Constantia" w:hAnsi="Constantia"/>
          <w:color w:val="333333"/>
          <w:sz w:val="28"/>
          <w:szCs w:val="28"/>
        </w:rPr>
      </w:pPr>
      <w:r>
        <w:rPr>
          <w:rFonts w:ascii="Constantia" w:hAnsi="Constantia"/>
          <w:color w:val="333333"/>
          <w:sz w:val="28"/>
          <w:szCs w:val="28"/>
        </w:rPr>
        <w:lastRenderedPageBreak/>
        <w:t xml:space="preserve">                   </w:t>
      </w:r>
      <w:r w:rsidRPr="00614123">
        <w:rPr>
          <w:rFonts w:ascii="Constantia" w:hAnsi="Constantia"/>
          <w:color w:val="333333"/>
          <w:sz w:val="28"/>
          <w:szCs w:val="28"/>
        </w:rPr>
        <w:t>where both OLE and EE are measured in percentage units, the intercept α</w:t>
      </w:r>
      <w:r w:rsidRPr="00614123">
        <w:rPr>
          <w:rFonts w:ascii="Constantia" w:hAnsi="Constantia"/>
          <w:color w:val="333333"/>
          <w:sz w:val="22"/>
          <w:szCs w:val="22"/>
          <w:vertAlign w:val="subscript"/>
        </w:rPr>
        <w:t>3</w:t>
      </w:r>
      <w:r w:rsidRPr="00614123">
        <w:rPr>
          <w:rFonts w:ascii="Constantia" w:hAnsi="Constantia"/>
          <w:color w:val="333333"/>
          <w:sz w:val="28"/>
          <w:szCs w:val="28"/>
        </w:rPr>
        <w:t> is interpreted as the level of OLE independent of EE, and β</w:t>
      </w:r>
      <w:r w:rsidRPr="00614123">
        <w:rPr>
          <w:rFonts w:ascii="Constantia" w:hAnsi="Constantia"/>
          <w:color w:val="333333"/>
          <w:sz w:val="22"/>
          <w:szCs w:val="22"/>
          <w:vertAlign w:val="subscript"/>
        </w:rPr>
        <w:t>3</w:t>
      </w:r>
      <w:r w:rsidRPr="00614123">
        <w:rPr>
          <w:rFonts w:ascii="Constantia" w:hAnsi="Constantia"/>
          <w:color w:val="333333"/>
          <w:sz w:val="28"/>
          <w:szCs w:val="28"/>
        </w:rPr>
        <w:t> is the marginal effect of EE on OLE (also known as the OLE elasticity of EE).</w:t>
      </w:r>
    </w:p>
    <w:p w:rsidR="00614123" w:rsidRDefault="00614123" w:rsidP="00614123">
      <w:pPr>
        <w:pStyle w:val="NormalWeb"/>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impact of the employer’s efforts to improve the work environment (EE) on informal work impairments (IWI); that is, reduced work capacity among workers which is not reflected in formal terms such as part-time working, was assessed by:</w:t>
      </w:r>
    </w:p>
    <w:p w:rsidR="00614123" w:rsidRPr="00614123" w:rsidRDefault="00614123" w:rsidP="00614123">
      <w:pPr>
        <w:shd w:val="clear" w:color="auto" w:fill="FFFFFF"/>
        <w:textAlignment w:val="center"/>
        <w:rPr>
          <w:rFonts w:ascii="Georgia" w:hAnsi="Georgia"/>
          <w:color w:val="333333"/>
          <w:sz w:val="27"/>
          <w:szCs w:val="27"/>
        </w:rPr>
      </w:pPr>
      <w:r>
        <w:rPr>
          <w:rStyle w:val="mi"/>
          <w:rFonts w:ascii="MathJax_Main" w:hAnsi="MathJax_Main"/>
          <w:color w:val="333333"/>
          <w:sz w:val="29"/>
          <w:szCs w:val="29"/>
          <w:bdr w:val="none" w:sz="0" w:space="0" w:color="auto" w:frame="1"/>
        </w:rPr>
        <w:t>IWI</w:t>
      </w:r>
      <w:r>
        <w:rPr>
          <w:rStyle w:val="mo"/>
          <w:rFonts w:ascii="MathJax_Main" w:hAnsi="MathJax_Main"/>
          <w:color w:val="333333"/>
          <w:sz w:val="29"/>
          <w:szCs w:val="29"/>
          <w:bdr w:val="none" w:sz="0" w:space="0" w:color="auto" w:frame="1"/>
        </w:rPr>
        <w:t>=</w:t>
      </w:r>
      <w:r>
        <w:rPr>
          <w:rStyle w:val="mtext"/>
          <w:rFonts w:ascii="Times" w:hAnsi="Times"/>
          <w:color w:val="333333"/>
          <w:sz w:val="26"/>
          <w:szCs w:val="26"/>
          <w:bdr w:val="none" w:sz="0" w:space="0" w:color="auto" w:frame="1"/>
        </w:rPr>
        <w:t>α</w:t>
      </w:r>
      <w:r>
        <w:rPr>
          <w:rStyle w:val="mn"/>
          <w:rFonts w:ascii="MathJax_Main" w:hAnsi="MathJax_Main"/>
          <w:color w:val="333333"/>
          <w:sz w:val="21"/>
          <w:szCs w:val="21"/>
          <w:bdr w:val="none" w:sz="0" w:space="0" w:color="auto" w:frame="1"/>
        </w:rPr>
        <w:t>4</w:t>
      </w:r>
      <w:r>
        <w:rPr>
          <w:rStyle w:val="mo"/>
          <w:rFonts w:ascii="MathJax_Main" w:hAnsi="MathJax_Main"/>
          <w:color w:val="333333"/>
          <w:sz w:val="29"/>
          <w:szCs w:val="29"/>
          <w:bdr w:val="none" w:sz="0" w:space="0" w:color="auto" w:frame="1"/>
        </w:rPr>
        <w:t>+</w:t>
      </w:r>
      <w:r>
        <w:rPr>
          <w:rStyle w:val="mtext"/>
          <w:rFonts w:ascii="Times" w:hAnsi="Times"/>
          <w:color w:val="333333"/>
          <w:sz w:val="26"/>
          <w:szCs w:val="26"/>
          <w:bdr w:val="none" w:sz="0" w:space="0" w:color="auto" w:frame="1"/>
        </w:rPr>
        <w:t>β</w:t>
      </w:r>
      <w:r>
        <w:rPr>
          <w:rStyle w:val="mn"/>
          <w:rFonts w:ascii="MathJax_Main" w:hAnsi="MathJax_Main"/>
          <w:color w:val="333333"/>
          <w:sz w:val="21"/>
          <w:szCs w:val="21"/>
          <w:bdr w:val="none" w:sz="0" w:space="0" w:color="auto" w:frame="1"/>
        </w:rPr>
        <w:t>4</w:t>
      </w:r>
      <w:r>
        <w:rPr>
          <w:rStyle w:val="mo"/>
          <w:rFonts w:ascii="Cambria Math" w:hAnsi="Cambria Math" w:cs="Cambria Math"/>
          <w:color w:val="333333"/>
          <w:sz w:val="29"/>
          <w:szCs w:val="29"/>
          <w:bdr w:val="none" w:sz="0" w:space="0" w:color="auto" w:frame="1"/>
        </w:rPr>
        <w:t>⋅</w:t>
      </w:r>
      <w:r>
        <w:rPr>
          <w:rStyle w:val="mi"/>
          <w:rFonts w:ascii="MathJax_Main" w:hAnsi="MathJax_Main"/>
          <w:color w:val="333333"/>
          <w:sz w:val="29"/>
          <w:szCs w:val="29"/>
          <w:bdr w:val="none" w:sz="0" w:space="0" w:color="auto" w:frame="1"/>
        </w:rPr>
        <w:t>EE</w:t>
      </w:r>
      <w:r>
        <w:rPr>
          <w:rStyle w:val="mo"/>
          <w:rFonts w:ascii="MathJax_Main" w:hAnsi="MathJax_Main"/>
          <w:color w:val="333333"/>
          <w:sz w:val="29"/>
          <w:szCs w:val="29"/>
          <w:bdr w:val="none" w:sz="0" w:space="0" w:color="auto" w:frame="1"/>
        </w:rPr>
        <w:t>,</w:t>
      </w:r>
      <w:r>
        <w:rPr>
          <w:rStyle w:val="mjxassistivemathml"/>
          <w:rFonts w:ascii="Georgia" w:hAnsi="Georgia"/>
          <w:color w:val="333333"/>
          <w:sz w:val="27"/>
          <w:szCs w:val="27"/>
          <w:bdr w:val="none" w:sz="0" w:space="0" w:color="auto" w:frame="1"/>
        </w:rPr>
        <w:t>IWI=α4+β4</w:t>
      </w:r>
      <w:r>
        <w:rPr>
          <w:rStyle w:val="mjxassistivemathml"/>
          <w:rFonts w:ascii="Cambria Math" w:hAnsi="Cambria Math" w:cs="Cambria Math"/>
          <w:color w:val="333333"/>
          <w:sz w:val="27"/>
          <w:szCs w:val="27"/>
          <w:bdr w:val="none" w:sz="0" w:space="0" w:color="auto" w:frame="1"/>
        </w:rPr>
        <w:t>⋅</w:t>
      </w:r>
      <w:r>
        <w:rPr>
          <w:rStyle w:val="mjxassistivemathml"/>
          <w:rFonts w:ascii="Georgia" w:hAnsi="Georgia"/>
          <w:color w:val="333333"/>
          <w:sz w:val="27"/>
          <w:szCs w:val="27"/>
          <w:bdr w:val="none" w:sz="0" w:space="0" w:color="auto" w:frame="1"/>
        </w:rPr>
        <w:t>EE,</w:t>
      </w:r>
    </w:p>
    <w:p w:rsidR="00614123" w:rsidRDefault="00614123" w:rsidP="00614123">
      <w:pPr>
        <w:pStyle w:val="NormalWeb"/>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              where both IWI and EE are measured in percentage units, the intercept α</w:t>
      </w:r>
      <w:r>
        <w:rPr>
          <w:rFonts w:ascii="Georgia" w:hAnsi="Georgia"/>
          <w:color w:val="333333"/>
          <w:sz w:val="20"/>
          <w:szCs w:val="20"/>
          <w:vertAlign w:val="subscript"/>
        </w:rPr>
        <w:t>4</w:t>
      </w:r>
      <w:r>
        <w:rPr>
          <w:rFonts w:ascii="Georgia" w:hAnsi="Georgia"/>
          <w:color w:val="333333"/>
          <w:sz w:val="27"/>
          <w:szCs w:val="27"/>
        </w:rPr>
        <w:t> is interpreted as the level of IWI independent of EE, and β</w:t>
      </w:r>
      <w:r>
        <w:rPr>
          <w:rFonts w:ascii="Georgia" w:hAnsi="Georgia"/>
          <w:color w:val="333333"/>
          <w:sz w:val="20"/>
          <w:szCs w:val="20"/>
          <w:vertAlign w:val="subscript"/>
        </w:rPr>
        <w:t>4</w:t>
      </w:r>
      <w:r>
        <w:rPr>
          <w:rFonts w:ascii="Georgia" w:hAnsi="Georgia"/>
          <w:color w:val="333333"/>
          <w:sz w:val="27"/>
          <w:szCs w:val="27"/>
        </w:rPr>
        <w:t> is the marginal effect of EE on IWI (and known as the IWI elasticity of EE).</w:t>
      </w:r>
    </w:p>
    <w:p w:rsidR="00614123" w:rsidRDefault="00614123" w:rsidP="00614123">
      <w:pPr>
        <w:pStyle w:val="NormalWeb"/>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impact of the employer’s efforts to improve the work environment (EE) on the working hours lost by ill workers (LWH) was assessed by:</w:t>
      </w:r>
    </w:p>
    <w:p w:rsidR="00614123" w:rsidRDefault="00614123" w:rsidP="00614123">
      <w:pPr>
        <w:shd w:val="clear" w:color="auto" w:fill="FFFFFF"/>
        <w:textAlignment w:val="center"/>
        <w:rPr>
          <w:rFonts w:ascii="Georgia" w:hAnsi="Georgia"/>
          <w:color w:val="333333"/>
          <w:sz w:val="27"/>
          <w:szCs w:val="27"/>
        </w:rPr>
      </w:pPr>
      <w:r>
        <w:rPr>
          <w:rStyle w:val="mi"/>
          <w:rFonts w:ascii="MathJax_Main" w:hAnsi="MathJax_Main"/>
          <w:color w:val="333333"/>
          <w:sz w:val="29"/>
          <w:szCs w:val="29"/>
          <w:bdr w:val="none" w:sz="0" w:space="0" w:color="auto" w:frame="1"/>
        </w:rPr>
        <w:t>LWH</w:t>
      </w:r>
      <w:r>
        <w:rPr>
          <w:rStyle w:val="mo"/>
          <w:rFonts w:ascii="MathJax_Main" w:hAnsi="MathJax_Main"/>
          <w:color w:val="333333"/>
          <w:sz w:val="29"/>
          <w:szCs w:val="29"/>
          <w:bdr w:val="none" w:sz="0" w:space="0" w:color="auto" w:frame="1"/>
        </w:rPr>
        <w:t>=</w:t>
      </w:r>
      <w:r>
        <w:rPr>
          <w:rStyle w:val="mtext"/>
          <w:rFonts w:ascii="Times" w:hAnsi="Times"/>
          <w:color w:val="333333"/>
          <w:sz w:val="26"/>
          <w:szCs w:val="26"/>
          <w:bdr w:val="none" w:sz="0" w:space="0" w:color="auto" w:frame="1"/>
        </w:rPr>
        <w:t>α</w:t>
      </w:r>
      <w:r>
        <w:rPr>
          <w:rStyle w:val="mn"/>
          <w:rFonts w:ascii="MathJax_Main" w:hAnsi="MathJax_Main"/>
          <w:color w:val="333333"/>
          <w:sz w:val="21"/>
          <w:szCs w:val="21"/>
          <w:bdr w:val="none" w:sz="0" w:space="0" w:color="auto" w:frame="1"/>
        </w:rPr>
        <w:t>5</w:t>
      </w:r>
      <w:r>
        <w:rPr>
          <w:rStyle w:val="mo"/>
          <w:rFonts w:ascii="MathJax_Main" w:hAnsi="MathJax_Main"/>
          <w:color w:val="333333"/>
          <w:sz w:val="29"/>
          <w:szCs w:val="29"/>
          <w:bdr w:val="none" w:sz="0" w:space="0" w:color="auto" w:frame="1"/>
        </w:rPr>
        <w:t>+</w:t>
      </w:r>
      <w:r>
        <w:rPr>
          <w:rStyle w:val="mtext"/>
          <w:rFonts w:ascii="Times" w:hAnsi="Times"/>
          <w:color w:val="333333"/>
          <w:sz w:val="26"/>
          <w:szCs w:val="26"/>
          <w:bdr w:val="none" w:sz="0" w:space="0" w:color="auto" w:frame="1"/>
        </w:rPr>
        <w:t>β</w:t>
      </w:r>
      <w:r>
        <w:rPr>
          <w:rStyle w:val="mn"/>
          <w:rFonts w:ascii="MathJax_Main" w:hAnsi="MathJax_Main"/>
          <w:color w:val="333333"/>
          <w:sz w:val="21"/>
          <w:szCs w:val="21"/>
          <w:bdr w:val="none" w:sz="0" w:space="0" w:color="auto" w:frame="1"/>
        </w:rPr>
        <w:t>5</w:t>
      </w:r>
      <w:r>
        <w:rPr>
          <w:rStyle w:val="mo"/>
          <w:rFonts w:ascii="Cambria Math" w:hAnsi="Cambria Math" w:cs="Cambria Math"/>
          <w:color w:val="333333"/>
          <w:sz w:val="29"/>
          <w:szCs w:val="29"/>
          <w:bdr w:val="none" w:sz="0" w:space="0" w:color="auto" w:frame="1"/>
        </w:rPr>
        <w:t>⋅</w:t>
      </w:r>
      <w:r>
        <w:rPr>
          <w:rStyle w:val="mi"/>
          <w:rFonts w:ascii="MathJax_Main" w:hAnsi="MathJax_Main"/>
          <w:color w:val="333333"/>
          <w:sz w:val="29"/>
          <w:szCs w:val="29"/>
          <w:bdr w:val="none" w:sz="0" w:space="0" w:color="auto" w:frame="1"/>
        </w:rPr>
        <w:t>EE</w:t>
      </w:r>
      <w:r>
        <w:rPr>
          <w:rStyle w:val="mo"/>
          <w:rFonts w:ascii="MathJax_Main" w:hAnsi="MathJax_Main"/>
          <w:color w:val="333333"/>
          <w:sz w:val="29"/>
          <w:szCs w:val="29"/>
          <w:bdr w:val="none" w:sz="0" w:space="0" w:color="auto" w:frame="1"/>
        </w:rPr>
        <w:t>,</w:t>
      </w:r>
      <w:r>
        <w:rPr>
          <w:rStyle w:val="mjxassistivemathml"/>
          <w:rFonts w:ascii="Georgia" w:hAnsi="Georgia"/>
          <w:color w:val="333333"/>
          <w:sz w:val="27"/>
          <w:szCs w:val="27"/>
          <w:bdr w:val="none" w:sz="0" w:space="0" w:color="auto" w:frame="1"/>
        </w:rPr>
        <w:t>LWH=α5+β5</w:t>
      </w:r>
      <w:r>
        <w:rPr>
          <w:rStyle w:val="mjxassistivemathml"/>
          <w:rFonts w:ascii="Cambria Math" w:hAnsi="Cambria Math" w:cs="Cambria Math"/>
          <w:color w:val="333333"/>
          <w:sz w:val="27"/>
          <w:szCs w:val="27"/>
          <w:bdr w:val="none" w:sz="0" w:space="0" w:color="auto" w:frame="1"/>
        </w:rPr>
        <w:t>⋅</w:t>
      </w:r>
      <w:r>
        <w:rPr>
          <w:rStyle w:val="mjxassistivemathml"/>
          <w:rFonts w:ascii="Georgia" w:hAnsi="Georgia"/>
          <w:color w:val="333333"/>
          <w:sz w:val="27"/>
          <w:szCs w:val="27"/>
          <w:bdr w:val="none" w:sz="0" w:space="0" w:color="auto" w:frame="1"/>
        </w:rPr>
        <w:t>EE,</w:t>
      </w:r>
    </w:p>
    <w:p w:rsidR="00614123" w:rsidRDefault="00614123" w:rsidP="00614123">
      <w:pPr>
        <w:pStyle w:val="NormalWeb"/>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            where the intercept α</w:t>
      </w:r>
      <w:r>
        <w:rPr>
          <w:rFonts w:ascii="Georgia" w:hAnsi="Georgia"/>
          <w:color w:val="333333"/>
          <w:sz w:val="20"/>
          <w:szCs w:val="20"/>
          <w:vertAlign w:val="subscript"/>
        </w:rPr>
        <w:t>5</w:t>
      </w:r>
      <w:r>
        <w:rPr>
          <w:rFonts w:ascii="Georgia" w:hAnsi="Georgia"/>
          <w:color w:val="333333"/>
          <w:sz w:val="27"/>
          <w:szCs w:val="27"/>
        </w:rPr>
        <w:t> is interpreted as the amount of LWH independent on the level of EE, and β</w:t>
      </w:r>
      <w:r>
        <w:rPr>
          <w:rFonts w:ascii="Georgia" w:hAnsi="Georgia"/>
          <w:color w:val="333333"/>
          <w:sz w:val="20"/>
          <w:szCs w:val="20"/>
          <w:vertAlign w:val="subscript"/>
        </w:rPr>
        <w:t>5</w:t>
      </w:r>
      <w:r>
        <w:rPr>
          <w:rFonts w:ascii="Georgia" w:hAnsi="Georgia"/>
          <w:color w:val="333333"/>
          <w:sz w:val="27"/>
          <w:szCs w:val="27"/>
        </w:rPr>
        <w:t> is the marginal effect of EE on LWH (i.e. the responsiveness of LWH to changes in EE by one percentage unit).</w:t>
      </w:r>
    </w:p>
    <w:p w:rsidR="00614123" w:rsidRDefault="00614123" w:rsidP="00614123">
      <w:pPr>
        <w:pStyle w:val="NormalWeb"/>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Ordinary least squares (OLS) regression analysis was used to assess the important marginal values.</w:t>
      </w:r>
    </w:p>
    <w:p w:rsidR="00614123" w:rsidRPr="00614123" w:rsidRDefault="00614123" w:rsidP="0006137E">
      <w:pPr>
        <w:pStyle w:val="NormalWeb"/>
        <w:spacing w:before="0" w:beforeAutospacing="0" w:after="0" w:afterAutospacing="0"/>
        <w:jc w:val="both"/>
        <w:rPr>
          <w:rFonts w:ascii="Constantia" w:hAnsi="Constantia"/>
          <w:sz w:val="32"/>
          <w:szCs w:val="32"/>
        </w:rPr>
      </w:pPr>
    </w:p>
    <w:p w:rsidR="00614123" w:rsidRPr="00614123" w:rsidRDefault="00614123" w:rsidP="00614123">
      <w:pPr>
        <w:shd w:val="clear" w:color="auto" w:fill="FFFFFF"/>
        <w:spacing w:after="0" w:line="240" w:lineRule="auto"/>
        <w:rPr>
          <w:rFonts w:ascii="Arial" w:eastAsia="Times New Roman" w:hAnsi="Arial" w:cs="Arial"/>
          <w:b/>
          <w:bCs/>
          <w:caps/>
          <w:color w:val="333333"/>
          <w:sz w:val="24"/>
          <w:szCs w:val="24"/>
          <w:lang w:bidi="ta-IN"/>
        </w:rPr>
      </w:pPr>
      <w:r w:rsidRPr="00614123">
        <w:rPr>
          <w:rFonts w:ascii="Arial" w:eastAsia="Times New Roman" w:hAnsi="Arial" w:cs="Arial"/>
          <w:b/>
          <w:bCs/>
          <w:caps/>
          <w:color w:val="333333"/>
          <w:sz w:val="24"/>
          <w:szCs w:val="24"/>
          <w:lang w:bidi="ta-IN"/>
        </w:rPr>
        <w:t>TAGS</w:t>
      </w:r>
    </w:p>
    <w:p w:rsidR="00614123" w:rsidRPr="00614123" w:rsidRDefault="00614123" w:rsidP="00614123">
      <w:pPr>
        <w:shd w:val="clear" w:color="auto" w:fill="FFFFFF"/>
        <w:spacing w:after="0" w:line="240" w:lineRule="auto"/>
        <w:rPr>
          <w:rFonts w:ascii="Arial" w:eastAsia="Times New Roman" w:hAnsi="Arial" w:cs="Arial"/>
          <w:color w:val="333333"/>
          <w:sz w:val="24"/>
          <w:szCs w:val="24"/>
          <w:lang w:bidi="ta-IN"/>
        </w:rPr>
      </w:pPr>
      <w:r w:rsidRPr="00614123">
        <w:rPr>
          <w:rFonts w:ascii="Arial" w:eastAsia="Times New Roman" w:hAnsi="Arial" w:cs="Arial"/>
          <w:color w:val="333333"/>
          <w:sz w:val="24"/>
          <w:szCs w:val="24"/>
          <w:lang w:bidi="ta-IN"/>
        </w:rPr>
        <w:t>Census-2011</w:t>
      </w:r>
    </w:p>
    <w:p w:rsidR="00614123" w:rsidRPr="00614123" w:rsidRDefault="00614123" w:rsidP="00614123">
      <w:pPr>
        <w:shd w:val="clear" w:color="auto" w:fill="FFFFFF"/>
        <w:spacing w:after="0" w:line="240" w:lineRule="auto"/>
        <w:rPr>
          <w:rFonts w:ascii="Arial" w:eastAsia="Times New Roman" w:hAnsi="Arial" w:cs="Arial"/>
          <w:b/>
          <w:bCs/>
          <w:caps/>
          <w:color w:val="333333"/>
          <w:sz w:val="24"/>
          <w:szCs w:val="24"/>
          <w:lang w:bidi="ta-IN"/>
        </w:rPr>
      </w:pPr>
      <w:r w:rsidRPr="00614123">
        <w:rPr>
          <w:rFonts w:ascii="Arial" w:eastAsia="Times New Roman" w:hAnsi="Arial" w:cs="Arial"/>
          <w:b/>
          <w:bCs/>
          <w:caps/>
          <w:color w:val="333333"/>
          <w:sz w:val="24"/>
          <w:szCs w:val="24"/>
          <w:lang w:bidi="ta-IN"/>
        </w:rPr>
        <w:t>GEOGRAPHIC UNIT(S)</w:t>
      </w:r>
    </w:p>
    <w:tbl>
      <w:tblPr>
        <w:tblW w:w="96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tblPr>
      <w:tblGrid>
        <w:gridCol w:w="2671"/>
        <w:gridCol w:w="3153"/>
        <w:gridCol w:w="3851"/>
      </w:tblGrid>
      <w:tr w:rsidR="00614123" w:rsidRPr="00614123" w:rsidTr="00614123">
        <w:tc>
          <w:tcPr>
            <w:tcW w:w="2671" w:type="dxa"/>
            <w:tcBorders>
              <w:top w:val="single" w:sz="6" w:space="0" w:color="DEE2E6"/>
              <w:left w:val="single" w:sz="6" w:space="0" w:color="DEE2E6"/>
              <w:bottom w:val="single" w:sz="6" w:space="0" w:color="DEE2E6"/>
              <w:right w:val="single" w:sz="6" w:space="0" w:color="DEE2E6"/>
            </w:tcBorders>
            <w:shd w:val="clear" w:color="auto" w:fill="auto"/>
            <w:tcMar>
              <w:top w:w="45" w:type="dxa"/>
              <w:left w:w="45" w:type="dxa"/>
              <w:bottom w:w="45" w:type="dxa"/>
              <w:right w:w="45" w:type="dxa"/>
            </w:tcMar>
            <w:hideMark/>
          </w:tcPr>
          <w:p w:rsidR="00614123" w:rsidRPr="00614123" w:rsidRDefault="00614123" w:rsidP="00614123">
            <w:pPr>
              <w:spacing w:after="0" w:line="240" w:lineRule="auto"/>
              <w:jc w:val="center"/>
              <w:rPr>
                <w:rFonts w:ascii="Times New Roman" w:eastAsia="Times New Roman" w:hAnsi="Times New Roman" w:cs="Times New Roman"/>
                <w:b/>
                <w:bCs/>
                <w:sz w:val="24"/>
                <w:szCs w:val="24"/>
                <w:lang w:bidi="ta-IN"/>
              </w:rPr>
            </w:pPr>
            <w:r w:rsidRPr="00614123">
              <w:rPr>
                <w:rFonts w:ascii="Times New Roman" w:eastAsia="Times New Roman" w:hAnsi="Times New Roman" w:cs="Times New Roman"/>
                <w:b/>
                <w:bCs/>
                <w:sz w:val="24"/>
                <w:szCs w:val="24"/>
                <w:lang w:bidi="ta-IN"/>
              </w:rPr>
              <w:t>Location name</w:t>
            </w:r>
          </w:p>
        </w:tc>
        <w:tc>
          <w:tcPr>
            <w:tcW w:w="3153" w:type="dxa"/>
            <w:tcBorders>
              <w:top w:val="single" w:sz="6" w:space="0" w:color="DEE2E6"/>
              <w:left w:val="single" w:sz="6" w:space="0" w:color="DEE2E6"/>
              <w:bottom w:val="single" w:sz="6" w:space="0" w:color="DEE2E6"/>
              <w:right w:val="single" w:sz="6" w:space="0" w:color="DEE2E6"/>
            </w:tcBorders>
            <w:shd w:val="clear" w:color="auto" w:fill="auto"/>
            <w:tcMar>
              <w:top w:w="45" w:type="dxa"/>
              <w:left w:w="45" w:type="dxa"/>
              <w:bottom w:w="45" w:type="dxa"/>
              <w:right w:w="45" w:type="dxa"/>
            </w:tcMar>
            <w:hideMark/>
          </w:tcPr>
          <w:p w:rsidR="00614123" w:rsidRPr="00614123" w:rsidRDefault="00614123" w:rsidP="00614123">
            <w:pPr>
              <w:spacing w:after="0" w:line="240" w:lineRule="auto"/>
              <w:jc w:val="center"/>
              <w:rPr>
                <w:rFonts w:ascii="Times New Roman" w:eastAsia="Times New Roman" w:hAnsi="Times New Roman" w:cs="Times New Roman"/>
                <w:b/>
                <w:bCs/>
                <w:sz w:val="24"/>
                <w:szCs w:val="24"/>
                <w:lang w:bidi="ta-IN"/>
              </w:rPr>
            </w:pPr>
            <w:r w:rsidRPr="00614123">
              <w:rPr>
                <w:rFonts w:ascii="Times New Roman" w:eastAsia="Times New Roman" w:hAnsi="Times New Roman" w:cs="Times New Roman"/>
                <w:b/>
                <w:bCs/>
                <w:sz w:val="24"/>
                <w:szCs w:val="24"/>
                <w:lang w:bidi="ta-IN"/>
              </w:rPr>
              <w:t>Location code</w:t>
            </w:r>
          </w:p>
        </w:tc>
        <w:tc>
          <w:tcPr>
            <w:tcW w:w="3851" w:type="dxa"/>
            <w:tcBorders>
              <w:top w:val="single" w:sz="6" w:space="0" w:color="DEE2E6"/>
              <w:left w:val="single" w:sz="6" w:space="0" w:color="DEE2E6"/>
              <w:bottom w:val="single" w:sz="6" w:space="0" w:color="DEE2E6"/>
              <w:right w:val="single" w:sz="6" w:space="0" w:color="DEE2E6"/>
            </w:tcBorders>
            <w:shd w:val="clear" w:color="auto" w:fill="auto"/>
            <w:tcMar>
              <w:top w:w="45" w:type="dxa"/>
              <w:left w:w="45" w:type="dxa"/>
              <w:bottom w:w="45" w:type="dxa"/>
              <w:right w:w="45" w:type="dxa"/>
            </w:tcMar>
            <w:hideMark/>
          </w:tcPr>
          <w:p w:rsidR="00614123" w:rsidRPr="00614123" w:rsidRDefault="00614123" w:rsidP="00614123">
            <w:pPr>
              <w:spacing w:after="0" w:line="240" w:lineRule="auto"/>
              <w:jc w:val="center"/>
              <w:rPr>
                <w:rFonts w:ascii="Times New Roman" w:eastAsia="Times New Roman" w:hAnsi="Times New Roman" w:cs="Times New Roman"/>
                <w:b/>
                <w:bCs/>
                <w:sz w:val="24"/>
                <w:szCs w:val="24"/>
                <w:lang w:bidi="ta-IN"/>
              </w:rPr>
            </w:pPr>
            <w:r w:rsidRPr="00614123">
              <w:rPr>
                <w:rFonts w:ascii="Times New Roman" w:eastAsia="Times New Roman" w:hAnsi="Times New Roman" w:cs="Times New Roman"/>
                <w:b/>
                <w:bCs/>
                <w:sz w:val="24"/>
                <w:szCs w:val="24"/>
                <w:lang w:bidi="ta-IN"/>
              </w:rPr>
              <w:t>Type</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Tamil Nadu</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33</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State</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Thiruvallur</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602</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Chennai</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603</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Kancheepuram</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604</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Vellore</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605</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Tiruvannamalai</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606</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Viluppuram</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607</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Salem</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608</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Namakkal</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609</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Erode</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610</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lastRenderedPageBreak/>
              <w:t>The Nilgiris</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611</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Dindigul</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612</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Karur</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613</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Tiruchirappalli</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614</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Perambalur</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615</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Ariyalur</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616</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Cuddalore</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617</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Nagapattinam</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618</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Thiruvarur</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619</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Thanjavur</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620</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Pudukkottai</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621</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Sivaganga</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622</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Madurai</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623</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Theni</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624</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Virudhunagar</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625</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Ramanathapuram</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626</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Thoothukkudi</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627</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Tirunelveli</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628</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Kanniyakumari</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629</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Dharmapuri</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630</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Krishnagiri</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631</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Coimbatore</w:t>
            </w:r>
          </w:p>
        </w:tc>
        <w:tc>
          <w:tcPr>
            <w:tcW w:w="3153"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632</w:t>
            </w:r>
          </w:p>
        </w:tc>
        <w:tc>
          <w:tcPr>
            <w:tcW w:w="3851" w:type="dxa"/>
            <w:tcBorders>
              <w:top w:val="single" w:sz="6" w:space="0" w:color="DEE2E6"/>
              <w:left w:val="single" w:sz="6" w:space="0" w:color="DEE2E6"/>
              <w:bottom w:val="single" w:sz="6" w:space="0" w:color="DEE2E6"/>
              <w:right w:val="single" w:sz="6" w:space="0" w:color="DEE2E6"/>
            </w:tcBorders>
            <w:shd w:val="clear" w:color="auto" w:fill="F7F7F9"/>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r w:rsidR="00614123" w:rsidRPr="00614123" w:rsidTr="00614123">
        <w:tc>
          <w:tcPr>
            <w:tcW w:w="0" w:type="auto"/>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Tiruppur</w:t>
            </w:r>
          </w:p>
        </w:tc>
        <w:tc>
          <w:tcPr>
            <w:tcW w:w="3153"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633</w:t>
            </w:r>
          </w:p>
        </w:tc>
        <w:tc>
          <w:tcPr>
            <w:tcW w:w="3851" w:type="dxa"/>
            <w:tcBorders>
              <w:top w:val="single" w:sz="6" w:space="0" w:color="DEE2E6"/>
              <w:left w:val="single" w:sz="6" w:space="0" w:color="DEE2E6"/>
              <w:bottom w:val="single" w:sz="6" w:space="0" w:color="DEE2E6"/>
              <w:right w:val="single" w:sz="6" w:space="0" w:color="DEE2E6"/>
            </w:tcBorders>
            <w:shd w:val="clear" w:color="auto" w:fill="FFFFFF"/>
            <w:tcMar>
              <w:top w:w="45" w:type="dxa"/>
              <w:left w:w="45" w:type="dxa"/>
              <w:bottom w:w="45" w:type="dxa"/>
              <w:right w:w="45" w:type="dxa"/>
            </w:tcMar>
            <w:hideMark/>
          </w:tcPr>
          <w:p w:rsidR="00614123" w:rsidRPr="00614123" w:rsidRDefault="00614123" w:rsidP="00614123">
            <w:pPr>
              <w:spacing w:after="0" w:line="240" w:lineRule="auto"/>
              <w:rPr>
                <w:rFonts w:ascii="Times New Roman" w:eastAsia="Times New Roman" w:hAnsi="Times New Roman" w:cs="Times New Roman"/>
                <w:sz w:val="24"/>
                <w:szCs w:val="24"/>
                <w:lang w:bidi="ta-IN"/>
              </w:rPr>
            </w:pPr>
            <w:r w:rsidRPr="00614123">
              <w:rPr>
                <w:rFonts w:ascii="Times New Roman" w:eastAsia="Times New Roman" w:hAnsi="Times New Roman" w:cs="Times New Roman"/>
                <w:sz w:val="24"/>
                <w:szCs w:val="24"/>
                <w:lang w:bidi="ta-IN"/>
              </w:rPr>
              <w:t>District</w:t>
            </w:r>
          </w:p>
        </w:tc>
      </w:tr>
    </w:tbl>
    <w:p w:rsidR="0006137E" w:rsidRPr="0006137E" w:rsidRDefault="0006137E" w:rsidP="0006137E">
      <w:pPr>
        <w:shd w:val="clear" w:color="auto" w:fill="FFFFFF"/>
        <w:spacing w:after="240" w:line="240" w:lineRule="auto"/>
        <w:outlineLvl w:val="0"/>
        <w:rPr>
          <w:rFonts w:ascii="Constantia" w:eastAsia="Times New Roman" w:hAnsi="Constantia" w:cs="Times New Roman"/>
          <w:b/>
          <w:bCs/>
          <w:color w:val="FFC000"/>
          <w:kern w:val="36"/>
          <w:sz w:val="40"/>
          <w:szCs w:val="40"/>
          <w:lang w:bidi="ta-IN"/>
        </w:rPr>
      </w:pPr>
    </w:p>
    <w:p w:rsidR="0006137E" w:rsidRDefault="0006137E"/>
    <w:sectPr w:rsidR="0006137E" w:rsidSect="004741E4">
      <w:headerReference w:type="even" r:id="rId77"/>
      <w:headerReference w:type="default" r:id="rId78"/>
      <w:footerReference w:type="even" r:id="rId79"/>
      <w:footerReference w:type="default" r:id="rId80"/>
      <w:headerReference w:type="first" r:id="rId81"/>
      <w:footerReference w:type="first" r:id="rId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2EB" w:rsidRDefault="004862EB" w:rsidP="0006137E">
      <w:pPr>
        <w:spacing w:after="0" w:line="240" w:lineRule="auto"/>
      </w:pPr>
      <w:r>
        <w:separator/>
      </w:r>
    </w:p>
  </w:endnote>
  <w:endnote w:type="continuationSeparator" w:id="1">
    <w:p w:rsidR="004862EB" w:rsidRDefault="004862EB" w:rsidP="000613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Engravers MT">
    <w:panose1 w:val="020907070805050203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39" w:rsidRDefault="00EC24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39" w:rsidRDefault="00EC243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39" w:rsidRDefault="00EC24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2EB" w:rsidRDefault="004862EB" w:rsidP="0006137E">
      <w:pPr>
        <w:spacing w:after="0" w:line="240" w:lineRule="auto"/>
      </w:pPr>
      <w:r>
        <w:separator/>
      </w:r>
    </w:p>
  </w:footnote>
  <w:footnote w:type="continuationSeparator" w:id="1">
    <w:p w:rsidR="004862EB" w:rsidRDefault="004862EB" w:rsidP="000613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39" w:rsidRDefault="00EC24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23" w:rsidRPr="0006137E" w:rsidRDefault="00614123" w:rsidP="0006137E">
    <w:pPr>
      <w:rPr>
        <w:rFonts w:ascii="Engravers MT" w:hAnsi="Engravers MT"/>
        <w:color w:val="365F91" w:themeColor="accent1" w:themeShade="BF"/>
        <w:sz w:val="40"/>
        <w:szCs w:val="40"/>
      </w:rPr>
    </w:pPr>
    <w:r w:rsidRPr="0006137E">
      <w:rPr>
        <w:rFonts w:ascii="Engravers MT" w:hAnsi="Engravers MT"/>
        <w:b/>
        <w:bCs/>
        <w:i/>
        <w:iCs/>
        <w:color w:val="365F91" w:themeColor="accent1" w:themeShade="BF"/>
        <w:sz w:val="40"/>
        <w:szCs w:val="40"/>
      </w:rPr>
      <w:t xml:space="preserve">ASSESSMENT OF TAMIL NADU MARGINALWORKERS </w:t>
    </w:r>
  </w:p>
  <w:p w:rsidR="00614123" w:rsidRDefault="006141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39" w:rsidRDefault="00EC24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C99C"/>
      </v:shape>
    </w:pict>
  </w:numPicBullet>
  <w:abstractNum w:abstractNumId="0">
    <w:nsid w:val="072D7585"/>
    <w:multiLevelType w:val="multilevel"/>
    <w:tmpl w:val="92D4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AA62E8"/>
    <w:multiLevelType w:val="hybridMultilevel"/>
    <w:tmpl w:val="70D86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26821"/>
    <w:multiLevelType w:val="multilevel"/>
    <w:tmpl w:val="1CD2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214584"/>
    <w:multiLevelType w:val="hybridMultilevel"/>
    <w:tmpl w:val="1CD8EBA4"/>
    <w:lvl w:ilvl="0" w:tplc="EFA89328">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D70D3A"/>
    <w:multiLevelType w:val="multilevel"/>
    <w:tmpl w:val="04C2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137E"/>
    <w:rsid w:val="0006137E"/>
    <w:rsid w:val="00290CD9"/>
    <w:rsid w:val="004741E4"/>
    <w:rsid w:val="004862EB"/>
    <w:rsid w:val="00614123"/>
    <w:rsid w:val="00661085"/>
    <w:rsid w:val="00EC243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1E4"/>
  </w:style>
  <w:style w:type="paragraph" w:styleId="Heading1">
    <w:name w:val="heading 1"/>
    <w:basedOn w:val="Normal"/>
    <w:link w:val="Heading1Char"/>
    <w:uiPriority w:val="9"/>
    <w:qFormat/>
    <w:rsid w:val="0006137E"/>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next w:val="Normal"/>
    <w:link w:val="Heading2Char"/>
    <w:uiPriority w:val="9"/>
    <w:semiHidden/>
    <w:unhideWhenUsed/>
    <w:qFormat/>
    <w:rsid w:val="000613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13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13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137E"/>
  </w:style>
  <w:style w:type="paragraph" w:styleId="Footer">
    <w:name w:val="footer"/>
    <w:basedOn w:val="Normal"/>
    <w:link w:val="FooterChar"/>
    <w:uiPriority w:val="99"/>
    <w:semiHidden/>
    <w:unhideWhenUsed/>
    <w:rsid w:val="000613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137E"/>
  </w:style>
  <w:style w:type="paragraph" w:styleId="BalloonText">
    <w:name w:val="Balloon Text"/>
    <w:basedOn w:val="Normal"/>
    <w:link w:val="BalloonTextChar"/>
    <w:uiPriority w:val="99"/>
    <w:semiHidden/>
    <w:unhideWhenUsed/>
    <w:rsid w:val="00061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37E"/>
    <w:rPr>
      <w:rFonts w:ascii="Tahoma" w:hAnsi="Tahoma" w:cs="Tahoma"/>
      <w:sz w:val="16"/>
      <w:szCs w:val="16"/>
    </w:rPr>
  </w:style>
  <w:style w:type="character" w:customStyle="1" w:styleId="Heading1Char">
    <w:name w:val="Heading 1 Char"/>
    <w:basedOn w:val="DefaultParagraphFont"/>
    <w:link w:val="Heading1"/>
    <w:uiPriority w:val="9"/>
    <w:rsid w:val="0006137E"/>
    <w:rPr>
      <w:rFonts w:ascii="Times New Roman" w:eastAsia="Times New Roman" w:hAnsi="Times New Roman" w:cs="Times New Roman"/>
      <w:b/>
      <w:bCs/>
      <w:kern w:val="36"/>
      <w:sz w:val="48"/>
      <w:szCs w:val="48"/>
      <w:lang w:bidi="ta-IN"/>
    </w:rPr>
  </w:style>
  <w:style w:type="character" w:customStyle="1" w:styleId="Heading2Char">
    <w:name w:val="Heading 2 Char"/>
    <w:basedOn w:val="DefaultParagraphFont"/>
    <w:link w:val="Heading2"/>
    <w:uiPriority w:val="9"/>
    <w:semiHidden/>
    <w:rsid w:val="000613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137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6137E"/>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06137E"/>
    <w:rPr>
      <w:color w:val="0000FF"/>
      <w:u w:val="single"/>
    </w:rPr>
  </w:style>
  <w:style w:type="character" w:customStyle="1" w:styleId="u-custom-list-number">
    <w:name w:val="u-custom-list-number"/>
    <w:basedOn w:val="DefaultParagraphFont"/>
    <w:rsid w:val="0006137E"/>
  </w:style>
  <w:style w:type="paragraph" w:styleId="ListParagraph">
    <w:name w:val="List Paragraph"/>
    <w:basedOn w:val="Normal"/>
    <w:uiPriority w:val="34"/>
    <w:qFormat/>
    <w:rsid w:val="0006137E"/>
    <w:pPr>
      <w:ind w:left="720"/>
      <w:contextualSpacing/>
    </w:pPr>
  </w:style>
  <w:style w:type="character" w:customStyle="1" w:styleId="mi">
    <w:name w:val="mi"/>
    <w:basedOn w:val="DefaultParagraphFont"/>
    <w:rsid w:val="00614123"/>
  </w:style>
  <w:style w:type="character" w:customStyle="1" w:styleId="mo">
    <w:name w:val="mo"/>
    <w:basedOn w:val="DefaultParagraphFont"/>
    <w:rsid w:val="00614123"/>
  </w:style>
  <w:style w:type="character" w:customStyle="1" w:styleId="mtext">
    <w:name w:val="mtext"/>
    <w:basedOn w:val="DefaultParagraphFont"/>
    <w:rsid w:val="00614123"/>
  </w:style>
  <w:style w:type="character" w:customStyle="1" w:styleId="mn">
    <w:name w:val="mn"/>
    <w:basedOn w:val="DefaultParagraphFont"/>
    <w:rsid w:val="00614123"/>
  </w:style>
  <w:style w:type="character" w:customStyle="1" w:styleId="mjxassistivemathml">
    <w:name w:val="mjx_assistive_mathml"/>
    <w:basedOn w:val="DefaultParagraphFont"/>
    <w:rsid w:val="00614123"/>
  </w:style>
</w:styles>
</file>

<file path=word/webSettings.xml><?xml version="1.0" encoding="utf-8"?>
<w:webSettings xmlns:r="http://schemas.openxmlformats.org/officeDocument/2006/relationships" xmlns:w="http://schemas.openxmlformats.org/wordprocessingml/2006/main">
  <w:divs>
    <w:div w:id="113671197">
      <w:bodyDiv w:val="1"/>
      <w:marLeft w:val="0"/>
      <w:marRight w:val="0"/>
      <w:marTop w:val="0"/>
      <w:marBottom w:val="0"/>
      <w:divBdr>
        <w:top w:val="none" w:sz="0" w:space="0" w:color="auto"/>
        <w:left w:val="none" w:sz="0" w:space="0" w:color="auto"/>
        <w:bottom w:val="none" w:sz="0" w:space="0" w:color="auto"/>
        <w:right w:val="none" w:sz="0" w:space="0" w:color="auto"/>
      </w:divBdr>
      <w:divsChild>
        <w:div w:id="1060594963">
          <w:marLeft w:val="0"/>
          <w:marRight w:val="0"/>
          <w:marTop w:val="225"/>
          <w:marBottom w:val="0"/>
          <w:divBdr>
            <w:top w:val="none" w:sz="0" w:space="0" w:color="auto"/>
            <w:left w:val="none" w:sz="0" w:space="0" w:color="auto"/>
            <w:bottom w:val="none" w:sz="0" w:space="0" w:color="auto"/>
            <w:right w:val="none" w:sz="0" w:space="0" w:color="auto"/>
          </w:divBdr>
        </w:div>
        <w:div w:id="782845622">
          <w:marLeft w:val="0"/>
          <w:marRight w:val="0"/>
          <w:marTop w:val="0"/>
          <w:marBottom w:val="0"/>
          <w:divBdr>
            <w:top w:val="none" w:sz="0" w:space="0" w:color="auto"/>
            <w:left w:val="none" w:sz="0" w:space="0" w:color="auto"/>
            <w:bottom w:val="none" w:sz="0" w:space="0" w:color="auto"/>
            <w:right w:val="none" w:sz="0" w:space="0" w:color="auto"/>
          </w:divBdr>
        </w:div>
        <w:div w:id="1552034758">
          <w:marLeft w:val="0"/>
          <w:marRight w:val="0"/>
          <w:marTop w:val="225"/>
          <w:marBottom w:val="0"/>
          <w:divBdr>
            <w:top w:val="none" w:sz="0" w:space="0" w:color="auto"/>
            <w:left w:val="none" w:sz="0" w:space="0" w:color="auto"/>
            <w:bottom w:val="none" w:sz="0" w:space="0" w:color="auto"/>
            <w:right w:val="none" w:sz="0" w:space="0" w:color="auto"/>
          </w:divBdr>
        </w:div>
        <w:div w:id="1451512644">
          <w:marLeft w:val="0"/>
          <w:marRight w:val="0"/>
          <w:marTop w:val="0"/>
          <w:marBottom w:val="0"/>
          <w:divBdr>
            <w:top w:val="none" w:sz="0" w:space="0" w:color="auto"/>
            <w:left w:val="none" w:sz="0" w:space="0" w:color="auto"/>
            <w:bottom w:val="none" w:sz="0" w:space="0" w:color="auto"/>
            <w:right w:val="none" w:sz="0" w:space="0" w:color="auto"/>
          </w:divBdr>
        </w:div>
        <w:div w:id="62219205">
          <w:marLeft w:val="0"/>
          <w:marRight w:val="0"/>
          <w:marTop w:val="225"/>
          <w:marBottom w:val="0"/>
          <w:divBdr>
            <w:top w:val="none" w:sz="0" w:space="0" w:color="auto"/>
            <w:left w:val="none" w:sz="0" w:space="0" w:color="auto"/>
            <w:bottom w:val="none" w:sz="0" w:space="0" w:color="auto"/>
            <w:right w:val="none" w:sz="0" w:space="0" w:color="auto"/>
          </w:divBdr>
        </w:div>
        <w:div w:id="788738740">
          <w:marLeft w:val="0"/>
          <w:marRight w:val="0"/>
          <w:marTop w:val="0"/>
          <w:marBottom w:val="0"/>
          <w:divBdr>
            <w:top w:val="none" w:sz="0" w:space="0" w:color="auto"/>
            <w:left w:val="none" w:sz="0" w:space="0" w:color="auto"/>
            <w:bottom w:val="none" w:sz="0" w:space="0" w:color="auto"/>
            <w:right w:val="none" w:sz="0" w:space="0" w:color="auto"/>
          </w:divBdr>
        </w:div>
        <w:div w:id="1183856425">
          <w:marLeft w:val="0"/>
          <w:marRight w:val="0"/>
          <w:marTop w:val="225"/>
          <w:marBottom w:val="0"/>
          <w:divBdr>
            <w:top w:val="none" w:sz="0" w:space="0" w:color="auto"/>
            <w:left w:val="none" w:sz="0" w:space="0" w:color="auto"/>
            <w:bottom w:val="none" w:sz="0" w:space="0" w:color="auto"/>
            <w:right w:val="none" w:sz="0" w:space="0" w:color="auto"/>
          </w:divBdr>
        </w:div>
        <w:div w:id="1138839470">
          <w:marLeft w:val="0"/>
          <w:marRight w:val="0"/>
          <w:marTop w:val="0"/>
          <w:marBottom w:val="0"/>
          <w:divBdr>
            <w:top w:val="none" w:sz="0" w:space="0" w:color="auto"/>
            <w:left w:val="none" w:sz="0" w:space="0" w:color="auto"/>
            <w:bottom w:val="none" w:sz="0" w:space="0" w:color="auto"/>
            <w:right w:val="none" w:sz="0" w:space="0" w:color="auto"/>
          </w:divBdr>
        </w:div>
        <w:div w:id="1909613071">
          <w:marLeft w:val="0"/>
          <w:marRight w:val="0"/>
          <w:marTop w:val="225"/>
          <w:marBottom w:val="0"/>
          <w:divBdr>
            <w:top w:val="none" w:sz="0" w:space="0" w:color="auto"/>
            <w:left w:val="none" w:sz="0" w:space="0" w:color="auto"/>
            <w:bottom w:val="none" w:sz="0" w:space="0" w:color="auto"/>
            <w:right w:val="none" w:sz="0" w:space="0" w:color="auto"/>
          </w:divBdr>
        </w:div>
        <w:div w:id="1817379848">
          <w:marLeft w:val="0"/>
          <w:marRight w:val="0"/>
          <w:marTop w:val="0"/>
          <w:marBottom w:val="0"/>
          <w:divBdr>
            <w:top w:val="none" w:sz="0" w:space="0" w:color="auto"/>
            <w:left w:val="none" w:sz="0" w:space="0" w:color="auto"/>
            <w:bottom w:val="none" w:sz="0" w:space="0" w:color="auto"/>
            <w:right w:val="none" w:sz="0" w:space="0" w:color="auto"/>
          </w:divBdr>
        </w:div>
        <w:div w:id="871264204">
          <w:marLeft w:val="0"/>
          <w:marRight w:val="0"/>
          <w:marTop w:val="225"/>
          <w:marBottom w:val="0"/>
          <w:divBdr>
            <w:top w:val="none" w:sz="0" w:space="0" w:color="auto"/>
            <w:left w:val="none" w:sz="0" w:space="0" w:color="auto"/>
            <w:bottom w:val="none" w:sz="0" w:space="0" w:color="auto"/>
            <w:right w:val="none" w:sz="0" w:space="0" w:color="auto"/>
          </w:divBdr>
        </w:div>
        <w:div w:id="50690378">
          <w:marLeft w:val="0"/>
          <w:marRight w:val="0"/>
          <w:marTop w:val="0"/>
          <w:marBottom w:val="0"/>
          <w:divBdr>
            <w:top w:val="none" w:sz="0" w:space="0" w:color="auto"/>
            <w:left w:val="none" w:sz="0" w:space="0" w:color="auto"/>
            <w:bottom w:val="none" w:sz="0" w:space="0" w:color="auto"/>
            <w:right w:val="none" w:sz="0" w:space="0" w:color="auto"/>
          </w:divBdr>
        </w:div>
        <w:div w:id="1039672628">
          <w:marLeft w:val="0"/>
          <w:marRight w:val="0"/>
          <w:marTop w:val="225"/>
          <w:marBottom w:val="0"/>
          <w:divBdr>
            <w:top w:val="none" w:sz="0" w:space="0" w:color="auto"/>
            <w:left w:val="none" w:sz="0" w:space="0" w:color="auto"/>
            <w:bottom w:val="none" w:sz="0" w:space="0" w:color="auto"/>
            <w:right w:val="none" w:sz="0" w:space="0" w:color="auto"/>
          </w:divBdr>
        </w:div>
        <w:div w:id="1398436687">
          <w:marLeft w:val="0"/>
          <w:marRight w:val="0"/>
          <w:marTop w:val="0"/>
          <w:marBottom w:val="0"/>
          <w:divBdr>
            <w:top w:val="none" w:sz="0" w:space="0" w:color="auto"/>
            <w:left w:val="none" w:sz="0" w:space="0" w:color="auto"/>
            <w:bottom w:val="none" w:sz="0" w:space="0" w:color="auto"/>
            <w:right w:val="none" w:sz="0" w:space="0" w:color="auto"/>
          </w:divBdr>
        </w:div>
        <w:div w:id="1314213993">
          <w:marLeft w:val="0"/>
          <w:marRight w:val="0"/>
          <w:marTop w:val="225"/>
          <w:marBottom w:val="0"/>
          <w:divBdr>
            <w:top w:val="none" w:sz="0" w:space="0" w:color="auto"/>
            <w:left w:val="none" w:sz="0" w:space="0" w:color="auto"/>
            <w:bottom w:val="none" w:sz="0" w:space="0" w:color="auto"/>
            <w:right w:val="none" w:sz="0" w:space="0" w:color="auto"/>
          </w:divBdr>
        </w:div>
        <w:div w:id="1610551589">
          <w:marLeft w:val="0"/>
          <w:marRight w:val="0"/>
          <w:marTop w:val="0"/>
          <w:marBottom w:val="0"/>
          <w:divBdr>
            <w:top w:val="none" w:sz="0" w:space="0" w:color="auto"/>
            <w:left w:val="none" w:sz="0" w:space="0" w:color="auto"/>
            <w:bottom w:val="none" w:sz="0" w:space="0" w:color="auto"/>
            <w:right w:val="none" w:sz="0" w:space="0" w:color="auto"/>
          </w:divBdr>
        </w:div>
        <w:div w:id="1096515462">
          <w:marLeft w:val="0"/>
          <w:marRight w:val="0"/>
          <w:marTop w:val="225"/>
          <w:marBottom w:val="0"/>
          <w:divBdr>
            <w:top w:val="none" w:sz="0" w:space="0" w:color="auto"/>
            <w:left w:val="none" w:sz="0" w:space="0" w:color="auto"/>
            <w:bottom w:val="none" w:sz="0" w:space="0" w:color="auto"/>
            <w:right w:val="none" w:sz="0" w:space="0" w:color="auto"/>
          </w:divBdr>
        </w:div>
        <w:div w:id="1481771085">
          <w:marLeft w:val="0"/>
          <w:marRight w:val="0"/>
          <w:marTop w:val="0"/>
          <w:marBottom w:val="0"/>
          <w:divBdr>
            <w:top w:val="none" w:sz="0" w:space="0" w:color="auto"/>
            <w:left w:val="none" w:sz="0" w:space="0" w:color="auto"/>
            <w:bottom w:val="none" w:sz="0" w:space="0" w:color="auto"/>
            <w:right w:val="none" w:sz="0" w:space="0" w:color="auto"/>
          </w:divBdr>
        </w:div>
        <w:div w:id="143740075">
          <w:marLeft w:val="0"/>
          <w:marRight w:val="0"/>
          <w:marTop w:val="225"/>
          <w:marBottom w:val="0"/>
          <w:divBdr>
            <w:top w:val="none" w:sz="0" w:space="0" w:color="auto"/>
            <w:left w:val="none" w:sz="0" w:space="0" w:color="auto"/>
            <w:bottom w:val="none" w:sz="0" w:space="0" w:color="auto"/>
            <w:right w:val="none" w:sz="0" w:space="0" w:color="auto"/>
          </w:divBdr>
        </w:div>
        <w:div w:id="1415013484">
          <w:marLeft w:val="0"/>
          <w:marRight w:val="0"/>
          <w:marTop w:val="0"/>
          <w:marBottom w:val="0"/>
          <w:divBdr>
            <w:top w:val="none" w:sz="0" w:space="0" w:color="auto"/>
            <w:left w:val="none" w:sz="0" w:space="0" w:color="auto"/>
            <w:bottom w:val="none" w:sz="0" w:space="0" w:color="auto"/>
            <w:right w:val="none" w:sz="0" w:space="0" w:color="auto"/>
          </w:divBdr>
        </w:div>
        <w:div w:id="923495625">
          <w:marLeft w:val="0"/>
          <w:marRight w:val="0"/>
          <w:marTop w:val="225"/>
          <w:marBottom w:val="0"/>
          <w:divBdr>
            <w:top w:val="none" w:sz="0" w:space="0" w:color="auto"/>
            <w:left w:val="none" w:sz="0" w:space="0" w:color="auto"/>
            <w:bottom w:val="none" w:sz="0" w:space="0" w:color="auto"/>
            <w:right w:val="none" w:sz="0" w:space="0" w:color="auto"/>
          </w:divBdr>
        </w:div>
        <w:div w:id="2101022014">
          <w:marLeft w:val="0"/>
          <w:marRight w:val="0"/>
          <w:marTop w:val="0"/>
          <w:marBottom w:val="0"/>
          <w:divBdr>
            <w:top w:val="none" w:sz="0" w:space="0" w:color="auto"/>
            <w:left w:val="none" w:sz="0" w:space="0" w:color="auto"/>
            <w:bottom w:val="none" w:sz="0" w:space="0" w:color="auto"/>
            <w:right w:val="none" w:sz="0" w:space="0" w:color="auto"/>
          </w:divBdr>
        </w:div>
        <w:div w:id="191040694">
          <w:marLeft w:val="0"/>
          <w:marRight w:val="0"/>
          <w:marTop w:val="225"/>
          <w:marBottom w:val="0"/>
          <w:divBdr>
            <w:top w:val="none" w:sz="0" w:space="0" w:color="auto"/>
            <w:left w:val="none" w:sz="0" w:space="0" w:color="auto"/>
            <w:bottom w:val="none" w:sz="0" w:space="0" w:color="auto"/>
            <w:right w:val="none" w:sz="0" w:space="0" w:color="auto"/>
          </w:divBdr>
        </w:div>
        <w:div w:id="968821619">
          <w:marLeft w:val="0"/>
          <w:marRight w:val="0"/>
          <w:marTop w:val="0"/>
          <w:marBottom w:val="0"/>
          <w:divBdr>
            <w:top w:val="none" w:sz="0" w:space="0" w:color="auto"/>
            <w:left w:val="none" w:sz="0" w:space="0" w:color="auto"/>
            <w:bottom w:val="none" w:sz="0" w:space="0" w:color="auto"/>
            <w:right w:val="none" w:sz="0" w:space="0" w:color="auto"/>
          </w:divBdr>
        </w:div>
        <w:div w:id="1166093181">
          <w:marLeft w:val="0"/>
          <w:marRight w:val="0"/>
          <w:marTop w:val="225"/>
          <w:marBottom w:val="0"/>
          <w:divBdr>
            <w:top w:val="none" w:sz="0" w:space="0" w:color="auto"/>
            <w:left w:val="none" w:sz="0" w:space="0" w:color="auto"/>
            <w:bottom w:val="none" w:sz="0" w:space="0" w:color="auto"/>
            <w:right w:val="none" w:sz="0" w:space="0" w:color="auto"/>
          </w:divBdr>
        </w:div>
        <w:div w:id="1733695810">
          <w:marLeft w:val="0"/>
          <w:marRight w:val="0"/>
          <w:marTop w:val="0"/>
          <w:marBottom w:val="0"/>
          <w:divBdr>
            <w:top w:val="none" w:sz="0" w:space="0" w:color="auto"/>
            <w:left w:val="none" w:sz="0" w:space="0" w:color="auto"/>
            <w:bottom w:val="none" w:sz="0" w:space="0" w:color="auto"/>
            <w:right w:val="none" w:sz="0" w:space="0" w:color="auto"/>
          </w:divBdr>
        </w:div>
        <w:div w:id="2099864385">
          <w:marLeft w:val="0"/>
          <w:marRight w:val="0"/>
          <w:marTop w:val="225"/>
          <w:marBottom w:val="0"/>
          <w:divBdr>
            <w:top w:val="none" w:sz="0" w:space="0" w:color="auto"/>
            <w:left w:val="none" w:sz="0" w:space="0" w:color="auto"/>
            <w:bottom w:val="none" w:sz="0" w:space="0" w:color="auto"/>
            <w:right w:val="none" w:sz="0" w:space="0" w:color="auto"/>
          </w:divBdr>
        </w:div>
        <w:div w:id="1636445344">
          <w:marLeft w:val="0"/>
          <w:marRight w:val="0"/>
          <w:marTop w:val="0"/>
          <w:marBottom w:val="0"/>
          <w:divBdr>
            <w:top w:val="none" w:sz="0" w:space="0" w:color="auto"/>
            <w:left w:val="none" w:sz="0" w:space="0" w:color="auto"/>
            <w:bottom w:val="none" w:sz="0" w:space="0" w:color="auto"/>
            <w:right w:val="none" w:sz="0" w:space="0" w:color="auto"/>
          </w:divBdr>
        </w:div>
      </w:divsChild>
    </w:div>
    <w:div w:id="239561917">
      <w:bodyDiv w:val="1"/>
      <w:marLeft w:val="0"/>
      <w:marRight w:val="0"/>
      <w:marTop w:val="0"/>
      <w:marBottom w:val="0"/>
      <w:divBdr>
        <w:top w:val="none" w:sz="0" w:space="0" w:color="auto"/>
        <w:left w:val="none" w:sz="0" w:space="0" w:color="auto"/>
        <w:bottom w:val="none" w:sz="0" w:space="0" w:color="auto"/>
        <w:right w:val="none" w:sz="0" w:space="0" w:color="auto"/>
      </w:divBdr>
    </w:div>
    <w:div w:id="260379681">
      <w:bodyDiv w:val="1"/>
      <w:marLeft w:val="0"/>
      <w:marRight w:val="0"/>
      <w:marTop w:val="0"/>
      <w:marBottom w:val="0"/>
      <w:divBdr>
        <w:top w:val="none" w:sz="0" w:space="0" w:color="auto"/>
        <w:left w:val="none" w:sz="0" w:space="0" w:color="auto"/>
        <w:bottom w:val="none" w:sz="0" w:space="0" w:color="auto"/>
        <w:right w:val="none" w:sz="0" w:space="0" w:color="auto"/>
      </w:divBdr>
    </w:div>
    <w:div w:id="862134571">
      <w:bodyDiv w:val="1"/>
      <w:marLeft w:val="0"/>
      <w:marRight w:val="0"/>
      <w:marTop w:val="0"/>
      <w:marBottom w:val="0"/>
      <w:divBdr>
        <w:top w:val="none" w:sz="0" w:space="0" w:color="auto"/>
        <w:left w:val="none" w:sz="0" w:space="0" w:color="auto"/>
        <w:bottom w:val="none" w:sz="0" w:space="0" w:color="auto"/>
        <w:right w:val="none" w:sz="0" w:space="0" w:color="auto"/>
      </w:divBdr>
    </w:div>
    <w:div w:id="1629894439">
      <w:bodyDiv w:val="1"/>
      <w:marLeft w:val="0"/>
      <w:marRight w:val="0"/>
      <w:marTop w:val="0"/>
      <w:marBottom w:val="0"/>
      <w:divBdr>
        <w:top w:val="none" w:sz="0" w:space="0" w:color="auto"/>
        <w:left w:val="none" w:sz="0" w:space="0" w:color="auto"/>
        <w:bottom w:val="none" w:sz="0" w:space="0" w:color="auto"/>
        <w:right w:val="none" w:sz="0" w:space="0" w:color="auto"/>
      </w:divBdr>
      <w:divsChild>
        <w:div w:id="1226914419">
          <w:marLeft w:val="0"/>
          <w:marRight w:val="0"/>
          <w:marTop w:val="0"/>
          <w:marBottom w:val="0"/>
          <w:divBdr>
            <w:top w:val="none" w:sz="0" w:space="0" w:color="auto"/>
            <w:left w:val="none" w:sz="0" w:space="0" w:color="auto"/>
            <w:bottom w:val="none" w:sz="0" w:space="0" w:color="auto"/>
            <w:right w:val="none" w:sz="0" w:space="0" w:color="auto"/>
          </w:divBdr>
          <w:divsChild>
            <w:div w:id="1719671752">
              <w:marLeft w:val="0"/>
              <w:marRight w:val="0"/>
              <w:marTop w:val="0"/>
              <w:marBottom w:val="600"/>
              <w:divBdr>
                <w:top w:val="none" w:sz="0" w:space="0" w:color="auto"/>
                <w:left w:val="none" w:sz="0" w:space="0" w:color="auto"/>
                <w:bottom w:val="none" w:sz="0" w:space="0" w:color="auto"/>
                <w:right w:val="none" w:sz="0" w:space="0" w:color="auto"/>
              </w:divBdr>
            </w:div>
          </w:divsChild>
        </w:div>
        <w:div w:id="772088740">
          <w:marLeft w:val="0"/>
          <w:marRight w:val="0"/>
          <w:marTop w:val="0"/>
          <w:marBottom w:val="0"/>
          <w:divBdr>
            <w:top w:val="none" w:sz="0" w:space="0" w:color="auto"/>
            <w:left w:val="none" w:sz="0" w:space="0" w:color="auto"/>
            <w:bottom w:val="none" w:sz="0" w:space="0" w:color="auto"/>
            <w:right w:val="none" w:sz="0" w:space="0" w:color="auto"/>
          </w:divBdr>
          <w:divsChild>
            <w:div w:id="142865139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88157701">
      <w:bodyDiv w:val="1"/>
      <w:marLeft w:val="0"/>
      <w:marRight w:val="0"/>
      <w:marTop w:val="0"/>
      <w:marBottom w:val="0"/>
      <w:divBdr>
        <w:top w:val="none" w:sz="0" w:space="0" w:color="auto"/>
        <w:left w:val="none" w:sz="0" w:space="0" w:color="auto"/>
        <w:bottom w:val="none" w:sz="0" w:space="0" w:color="auto"/>
        <w:right w:val="none" w:sz="0" w:space="0" w:color="auto"/>
      </w:divBdr>
      <w:divsChild>
        <w:div w:id="1573000090">
          <w:marLeft w:val="0"/>
          <w:marRight w:val="0"/>
          <w:marTop w:val="0"/>
          <w:marBottom w:val="360"/>
          <w:divBdr>
            <w:top w:val="none" w:sz="0" w:space="0" w:color="auto"/>
            <w:left w:val="none" w:sz="0" w:space="0" w:color="auto"/>
            <w:bottom w:val="none" w:sz="0" w:space="0" w:color="auto"/>
            <w:right w:val="none" w:sz="0" w:space="0" w:color="auto"/>
          </w:divBdr>
        </w:div>
        <w:div w:id="1767730972">
          <w:marLeft w:val="0"/>
          <w:marRight w:val="0"/>
          <w:marTop w:val="0"/>
          <w:marBottom w:val="360"/>
          <w:divBdr>
            <w:top w:val="none" w:sz="0" w:space="0" w:color="auto"/>
            <w:left w:val="none" w:sz="0" w:space="0" w:color="auto"/>
            <w:bottom w:val="none" w:sz="0" w:space="0" w:color="auto"/>
            <w:right w:val="none" w:sz="0" w:space="0" w:color="auto"/>
          </w:divBdr>
          <w:divsChild>
            <w:div w:id="1169366641">
              <w:marLeft w:val="0"/>
              <w:marRight w:val="0"/>
              <w:marTop w:val="180"/>
              <w:marBottom w:val="240"/>
              <w:divBdr>
                <w:top w:val="none" w:sz="0" w:space="0" w:color="auto"/>
                <w:left w:val="none" w:sz="0" w:space="0" w:color="auto"/>
                <w:bottom w:val="none" w:sz="0" w:space="0" w:color="auto"/>
                <w:right w:val="none" w:sz="0" w:space="0" w:color="auto"/>
              </w:divBdr>
            </w:div>
          </w:divsChild>
        </w:div>
        <w:div w:id="1924533543">
          <w:marLeft w:val="0"/>
          <w:marRight w:val="0"/>
          <w:marTop w:val="0"/>
          <w:marBottom w:val="360"/>
          <w:divBdr>
            <w:top w:val="none" w:sz="0" w:space="0" w:color="auto"/>
            <w:left w:val="none" w:sz="0" w:space="0" w:color="auto"/>
            <w:bottom w:val="none" w:sz="0" w:space="0" w:color="auto"/>
            <w:right w:val="none" w:sz="0" w:space="0" w:color="auto"/>
          </w:divBdr>
          <w:divsChild>
            <w:div w:id="851452440">
              <w:marLeft w:val="0"/>
              <w:marRight w:val="0"/>
              <w:marTop w:val="180"/>
              <w:marBottom w:val="240"/>
              <w:divBdr>
                <w:top w:val="none" w:sz="0" w:space="0" w:color="auto"/>
                <w:left w:val="none" w:sz="0" w:space="0" w:color="auto"/>
                <w:bottom w:val="none" w:sz="0" w:space="0" w:color="auto"/>
                <w:right w:val="none" w:sz="0" w:space="0" w:color="auto"/>
              </w:divBdr>
            </w:div>
          </w:divsChild>
        </w:div>
        <w:div w:id="750394168">
          <w:marLeft w:val="0"/>
          <w:marRight w:val="0"/>
          <w:marTop w:val="0"/>
          <w:marBottom w:val="360"/>
          <w:divBdr>
            <w:top w:val="none" w:sz="0" w:space="0" w:color="auto"/>
            <w:left w:val="none" w:sz="0" w:space="0" w:color="auto"/>
            <w:bottom w:val="none" w:sz="0" w:space="0" w:color="auto"/>
            <w:right w:val="none" w:sz="0" w:space="0" w:color="auto"/>
          </w:divBdr>
          <w:divsChild>
            <w:div w:id="252007464">
              <w:marLeft w:val="0"/>
              <w:marRight w:val="0"/>
              <w:marTop w:val="180"/>
              <w:marBottom w:val="240"/>
              <w:divBdr>
                <w:top w:val="none" w:sz="0" w:space="0" w:color="auto"/>
                <w:left w:val="none" w:sz="0" w:space="0" w:color="auto"/>
                <w:bottom w:val="none" w:sz="0" w:space="0" w:color="auto"/>
                <w:right w:val="none" w:sz="0" w:space="0" w:color="auto"/>
              </w:divBdr>
            </w:div>
          </w:divsChild>
        </w:div>
        <w:div w:id="884372085">
          <w:marLeft w:val="0"/>
          <w:marRight w:val="0"/>
          <w:marTop w:val="0"/>
          <w:marBottom w:val="360"/>
          <w:divBdr>
            <w:top w:val="none" w:sz="0" w:space="0" w:color="auto"/>
            <w:left w:val="none" w:sz="0" w:space="0" w:color="auto"/>
            <w:bottom w:val="none" w:sz="0" w:space="0" w:color="auto"/>
            <w:right w:val="none" w:sz="0" w:space="0" w:color="auto"/>
          </w:divBdr>
          <w:divsChild>
            <w:div w:id="853493780">
              <w:marLeft w:val="0"/>
              <w:marRight w:val="0"/>
              <w:marTop w:val="180"/>
              <w:marBottom w:val="240"/>
              <w:divBdr>
                <w:top w:val="none" w:sz="0" w:space="0" w:color="auto"/>
                <w:left w:val="none" w:sz="0" w:space="0" w:color="auto"/>
                <w:bottom w:val="none" w:sz="0" w:space="0" w:color="auto"/>
                <w:right w:val="none" w:sz="0" w:space="0" w:color="auto"/>
              </w:divBdr>
            </w:div>
          </w:divsChild>
        </w:div>
        <w:div w:id="2115900327">
          <w:marLeft w:val="0"/>
          <w:marRight w:val="0"/>
          <w:marTop w:val="0"/>
          <w:marBottom w:val="360"/>
          <w:divBdr>
            <w:top w:val="none" w:sz="0" w:space="0" w:color="auto"/>
            <w:left w:val="none" w:sz="0" w:space="0" w:color="auto"/>
            <w:bottom w:val="none" w:sz="0" w:space="0" w:color="auto"/>
            <w:right w:val="none" w:sz="0" w:space="0" w:color="auto"/>
          </w:divBdr>
          <w:divsChild>
            <w:div w:id="688727313">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858419952">
      <w:bodyDiv w:val="1"/>
      <w:marLeft w:val="0"/>
      <w:marRight w:val="0"/>
      <w:marTop w:val="0"/>
      <w:marBottom w:val="0"/>
      <w:divBdr>
        <w:top w:val="none" w:sz="0" w:space="0" w:color="auto"/>
        <w:left w:val="none" w:sz="0" w:space="0" w:color="auto"/>
        <w:bottom w:val="none" w:sz="0" w:space="0" w:color="auto"/>
        <w:right w:val="none" w:sz="0" w:space="0" w:color="auto"/>
      </w:divBdr>
    </w:div>
    <w:div w:id="1974753154">
      <w:bodyDiv w:val="1"/>
      <w:marLeft w:val="0"/>
      <w:marRight w:val="0"/>
      <w:marTop w:val="0"/>
      <w:marBottom w:val="0"/>
      <w:divBdr>
        <w:top w:val="none" w:sz="0" w:space="0" w:color="auto"/>
        <w:left w:val="none" w:sz="0" w:space="0" w:color="auto"/>
        <w:bottom w:val="none" w:sz="0" w:space="0" w:color="auto"/>
        <w:right w:val="none" w:sz="0" w:space="0" w:color="auto"/>
      </w:divBdr>
    </w:div>
    <w:div w:id="2093696254">
      <w:bodyDiv w:val="1"/>
      <w:marLeft w:val="0"/>
      <w:marRight w:val="0"/>
      <w:marTop w:val="0"/>
      <w:marBottom w:val="0"/>
      <w:divBdr>
        <w:top w:val="none" w:sz="0" w:space="0" w:color="auto"/>
        <w:left w:val="none" w:sz="0" w:space="0" w:color="auto"/>
        <w:bottom w:val="none" w:sz="0" w:space="0" w:color="auto"/>
        <w:right w:val="none" w:sz="0" w:space="0" w:color="auto"/>
      </w:divBdr>
      <w:divsChild>
        <w:div w:id="1057360893">
          <w:marLeft w:val="0"/>
          <w:marRight w:val="0"/>
          <w:marTop w:val="225"/>
          <w:marBottom w:val="0"/>
          <w:divBdr>
            <w:top w:val="none" w:sz="0" w:space="0" w:color="auto"/>
            <w:left w:val="none" w:sz="0" w:space="0" w:color="auto"/>
            <w:bottom w:val="none" w:sz="0" w:space="0" w:color="auto"/>
            <w:right w:val="none" w:sz="0" w:space="0" w:color="auto"/>
          </w:divBdr>
        </w:div>
        <w:div w:id="65618677">
          <w:marLeft w:val="0"/>
          <w:marRight w:val="0"/>
          <w:marTop w:val="0"/>
          <w:marBottom w:val="0"/>
          <w:divBdr>
            <w:top w:val="none" w:sz="0" w:space="0" w:color="auto"/>
            <w:left w:val="none" w:sz="0" w:space="0" w:color="auto"/>
            <w:bottom w:val="none" w:sz="0" w:space="0" w:color="auto"/>
            <w:right w:val="none" w:sz="0" w:space="0" w:color="auto"/>
          </w:divBdr>
        </w:div>
        <w:div w:id="1085692587">
          <w:marLeft w:val="0"/>
          <w:marRight w:val="0"/>
          <w:marTop w:val="225"/>
          <w:marBottom w:val="0"/>
          <w:divBdr>
            <w:top w:val="none" w:sz="0" w:space="0" w:color="auto"/>
            <w:left w:val="none" w:sz="0" w:space="0" w:color="auto"/>
            <w:bottom w:val="none" w:sz="0" w:space="0" w:color="auto"/>
            <w:right w:val="none" w:sz="0" w:space="0" w:color="auto"/>
          </w:divBdr>
        </w:div>
        <w:div w:id="2115514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oemj.biomedcentral.com/articles/10.1186/s40557-018-0212-5" TargetMode="External"/><Relationship Id="rId18" Type="http://schemas.openxmlformats.org/officeDocument/2006/relationships/hyperlink" Target="https://aoemj.biomedcentral.com/articles/10.1186/s40557-018-0212-5" TargetMode="External"/><Relationship Id="rId26" Type="http://schemas.openxmlformats.org/officeDocument/2006/relationships/hyperlink" Target="https://aoemj.biomedcentral.com/articles/10.1186/s40557-018-0212-5" TargetMode="External"/><Relationship Id="rId39" Type="http://schemas.openxmlformats.org/officeDocument/2006/relationships/hyperlink" Target="https://aoemj.biomedcentral.com/articles/10.1186/s40557-018-0212-5" TargetMode="External"/><Relationship Id="rId21" Type="http://schemas.openxmlformats.org/officeDocument/2006/relationships/hyperlink" Target="https://aoemj.biomedcentral.com/articles/10.1186/s40557-018-0212-5" TargetMode="External"/><Relationship Id="rId34" Type="http://schemas.openxmlformats.org/officeDocument/2006/relationships/hyperlink" Target="http://www.enwhp.org/fileadmin/rs-dokumente/dateien/Luxembourg_Declaration.pdf" TargetMode="External"/><Relationship Id="rId42" Type="http://schemas.openxmlformats.org/officeDocument/2006/relationships/hyperlink" Target="https://aoemj.biomedcentral.com/articles/10.1186/s40557-018-0212-5" TargetMode="External"/><Relationship Id="rId47" Type="http://schemas.openxmlformats.org/officeDocument/2006/relationships/hyperlink" Target="https://aoemj.biomedcentral.com/articles/10.1186/s40557-018-0212-5" TargetMode="External"/><Relationship Id="rId50" Type="http://schemas.openxmlformats.org/officeDocument/2006/relationships/hyperlink" Target="https://aoemj.biomedcentral.com/articles/10.1186/s40557-018-0212-5" TargetMode="External"/><Relationship Id="rId55" Type="http://schemas.openxmlformats.org/officeDocument/2006/relationships/hyperlink" Target="https://aoemj.biomedcentral.com/articles/10.1186/s40557-018-0212-5" TargetMode="External"/><Relationship Id="rId63" Type="http://schemas.openxmlformats.org/officeDocument/2006/relationships/hyperlink" Target="https://aoemj.biomedcentral.com/articles/10.1186/s40557-018-0212-5" TargetMode="External"/><Relationship Id="rId68" Type="http://schemas.openxmlformats.org/officeDocument/2006/relationships/hyperlink" Target="https://aoemj.biomedcentral.com/articles/10.1186/s40557-018-0212-5" TargetMode="External"/><Relationship Id="rId76" Type="http://schemas.openxmlformats.org/officeDocument/2006/relationships/hyperlink" Target="https://aoemj.biomedcentral.com/articles/10.1186/s40557-018-0212-5" TargetMode="External"/><Relationship Id="rId84" Type="http://schemas.openxmlformats.org/officeDocument/2006/relationships/theme" Target="theme/theme1.xml"/><Relationship Id="rId7" Type="http://schemas.openxmlformats.org/officeDocument/2006/relationships/image" Target="media/image2.jpeg"/><Relationship Id="rId71" Type="http://schemas.openxmlformats.org/officeDocument/2006/relationships/hyperlink" Target="https://aoemj.biomedcentral.com/articles/10.1186/s40557-018-0212-5" TargetMode="External"/><Relationship Id="rId2" Type="http://schemas.openxmlformats.org/officeDocument/2006/relationships/styles" Target="styles.xml"/><Relationship Id="rId16" Type="http://schemas.openxmlformats.org/officeDocument/2006/relationships/hyperlink" Target="https://aoemj.biomedcentral.com/articles/10.1186/s40557-018-0212-5" TargetMode="External"/><Relationship Id="rId29" Type="http://schemas.openxmlformats.org/officeDocument/2006/relationships/hyperlink" Target="https://aoemj.biomedcentral.com/articles/10.1186/s40557-018-0212-5" TargetMode="External"/><Relationship Id="rId11" Type="http://schemas.openxmlformats.org/officeDocument/2006/relationships/hyperlink" Target="https://aoemj.biomedcentral.com/articles/10.1186/s40557-018-0212-5" TargetMode="External"/><Relationship Id="rId24" Type="http://schemas.openxmlformats.org/officeDocument/2006/relationships/hyperlink" Target="https://aoemj.biomedcentral.com/articles/10.1186/s40557-018-0212-5" TargetMode="External"/><Relationship Id="rId32" Type="http://schemas.openxmlformats.org/officeDocument/2006/relationships/hyperlink" Target="https://aoemj.biomedcentral.com/articles/10.1186/s40557-018-0212-5" TargetMode="External"/><Relationship Id="rId37" Type="http://schemas.openxmlformats.org/officeDocument/2006/relationships/hyperlink" Target="https://aoemj.biomedcentral.com/articles/10.1186/s40557-018-0212-5" TargetMode="External"/><Relationship Id="rId40" Type="http://schemas.openxmlformats.org/officeDocument/2006/relationships/hyperlink" Target="https://aoemj.biomedcentral.com/articles/10.1186/s40557-018-0212-5" TargetMode="External"/><Relationship Id="rId45" Type="http://schemas.openxmlformats.org/officeDocument/2006/relationships/hyperlink" Target="https://aoemj.biomedcentral.com/articles/10.1186/s40557-018-0212-5" TargetMode="External"/><Relationship Id="rId53" Type="http://schemas.openxmlformats.org/officeDocument/2006/relationships/hyperlink" Target="https://aoemj.biomedcentral.com/articles/10.1186/s40557-018-0212-5" TargetMode="External"/><Relationship Id="rId58" Type="http://schemas.openxmlformats.org/officeDocument/2006/relationships/hyperlink" Target="https://aoemj.biomedcentral.com/articles/10.1186/s40557-018-0212-5" TargetMode="External"/><Relationship Id="rId66" Type="http://schemas.openxmlformats.org/officeDocument/2006/relationships/hyperlink" Target="https://aoemj.biomedcentral.com/articles/10.1186/s40557-018-0212-5" TargetMode="External"/><Relationship Id="rId74" Type="http://schemas.openxmlformats.org/officeDocument/2006/relationships/hyperlink" Target="https://aoemj.biomedcentral.com/articles/10.1186/s40557-018-0212-5"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aoemj.biomedcentral.com/articles/10.1186/s40557-018-0212-5" TargetMode="External"/><Relationship Id="rId82" Type="http://schemas.openxmlformats.org/officeDocument/2006/relationships/footer" Target="footer3.xml"/><Relationship Id="rId10" Type="http://schemas.openxmlformats.org/officeDocument/2006/relationships/hyperlink" Target="https://aoemj.biomedcentral.com/articles/10.1186/s40557-018-0212-5" TargetMode="External"/><Relationship Id="rId19" Type="http://schemas.openxmlformats.org/officeDocument/2006/relationships/hyperlink" Target="https://aoemj.biomedcentral.com/articles/10.1186/s40557-018-0212-5" TargetMode="External"/><Relationship Id="rId31" Type="http://schemas.openxmlformats.org/officeDocument/2006/relationships/hyperlink" Target="https://aoemj.biomedcentral.com/articles/10.1186/s40557-018-0212-5" TargetMode="External"/><Relationship Id="rId44" Type="http://schemas.openxmlformats.org/officeDocument/2006/relationships/hyperlink" Target="https://aoemj.biomedcentral.com/articles/10.1186/s40557-018-0212-5" TargetMode="External"/><Relationship Id="rId52" Type="http://schemas.openxmlformats.org/officeDocument/2006/relationships/hyperlink" Target="https://aoemj.biomedcentral.com/articles/10.1186/s40557-018-0212-5" TargetMode="External"/><Relationship Id="rId60" Type="http://schemas.openxmlformats.org/officeDocument/2006/relationships/hyperlink" Target="https://aoemj.biomedcentral.com/articles/10.1186/s40557-018-0212-5" TargetMode="External"/><Relationship Id="rId65" Type="http://schemas.openxmlformats.org/officeDocument/2006/relationships/hyperlink" Target="https://aoemj.biomedcentral.com/articles/10.1186/s40557-018-0212-5" TargetMode="External"/><Relationship Id="rId73" Type="http://schemas.openxmlformats.org/officeDocument/2006/relationships/hyperlink" Target="http://www.hcp.med.harvard.edu/hpq/ftpdir/survey_clinical_7day.pdf"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aoemj.biomedcentral.com/articles/10.1186/s40557-018-0212-5" TargetMode="External"/><Relationship Id="rId14" Type="http://schemas.openxmlformats.org/officeDocument/2006/relationships/hyperlink" Target="https://aoemj.biomedcentral.com/articles/10.1186/s40557-018-0212-5" TargetMode="External"/><Relationship Id="rId22" Type="http://schemas.openxmlformats.org/officeDocument/2006/relationships/hyperlink" Target="https://aoemj.biomedcentral.com/articles/10.1186/s40557-018-0212-5" TargetMode="External"/><Relationship Id="rId27" Type="http://schemas.openxmlformats.org/officeDocument/2006/relationships/hyperlink" Target="https://aoemj.biomedcentral.com/articles/10.1186/s40557-018-0212-5" TargetMode="External"/><Relationship Id="rId30" Type="http://schemas.openxmlformats.org/officeDocument/2006/relationships/hyperlink" Target="https://aoemj.biomedcentral.com/articles/10.1186/s40557-018-0212-5" TargetMode="External"/><Relationship Id="rId35" Type="http://schemas.openxmlformats.org/officeDocument/2006/relationships/hyperlink" Target="https://aoemj.biomedcentral.com/articles/10.1186/s40557-018-0212-5" TargetMode="External"/><Relationship Id="rId43" Type="http://schemas.openxmlformats.org/officeDocument/2006/relationships/hyperlink" Target="https://aoemj.biomedcentral.com/articles/10.1186/s40557-018-0212-5" TargetMode="External"/><Relationship Id="rId48" Type="http://schemas.openxmlformats.org/officeDocument/2006/relationships/hyperlink" Target="https://aoemj.biomedcentral.com/articles/10.1186/s40557-018-0212-5" TargetMode="External"/><Relationship Id="rId56" Type="http://schemas.openxmlformats.org/officeDocument/2006/relationships/hyperlink" Target="https://aoemj.biomedcentral.com/articles/10.1186/s40557-018-0212-5" TargetMode="External"/><Relationship Id="rId64" Type="http://schemas.openxmlformats.org/officeDocument/2006/relationships/hyperlink" Target="https://aoemj.biomedcentral.com/articles/10.1186/s40557-018-0212-5" TargetMode="External"/><Relationship Id="rId69" Type="http://schemas.openxmlformats.org/officeDocument/2006/relationships/hyperlink" Target="https://aoemj.biomedcentral.com/articles/10.1186/s40557-018-0212-5" TargetMode="External"/><Relationship Id="rId77" Type="http://schemas.openxmlformats.org/officeDocument/2006/relationships/header" Target="header1.xml"/><Relationship Id="rId8" Type="http://schemas.openxmlformats.org/officeDocument/2006/relationships/image" Target="media/image3.jpeg"/><Relationship Id="rId51" Type="http://schemas.openxmlformats.org/officeDocument/2006/relationships/hyperlink" Target="https://aoemj.biomedcentral.com/articles/10.1186/s40557-018-0212-5" TargetMode="External"/><Relationship Id="rId72" Type="http://schemas.openxmlformats.org/officeDocument/2006/relationships/hyperlink" Target="http://www.hcp.med.harvard.edu/hpq/ftpdir/absenteeism%20presenteeism%20scoring%20050107.pdf"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aoemj.biomedcentral.com/articles/10.1186/s40557-018-0212-5" TargetMode="External"/><Relationship Id="rId17" Type="http://schemas.openxmlformats.org/officeDocument/2006/relationships/hyperlink" Target="https://aoemj.biomedcentral.com/articles/10.1186/s40557-018-0212-5" TargetMode="External"/><Relationship Id="rId25" Type="http://schemas.openxmlformats.org/officeDocument/2006/relationships/hyperlink" Target="https://aoemj.biomedcentral.com/articles/10.1186/s40557-018-0212-5" TargetMode="External"/><Relationship Id="rId33" Type="http://schemas.openxmlformats.org/officeDocument/2006/relationships/hyperlink" Target="https://aoemj.biomedcentral.com/articles/10.1186/s40557-018-0212-5" TargetMode="External"/><Relationship Id="rId38" Type="http://schemas.openxmlformats.org/officeDocument/2006/relationships/hyperlink" Target="https://aoemj.biomedcentral.com/articles/10.1186/s40557-018-0212-5" TargetMode="External"/><Relationship Id="rId46" Type="http://schemas.openxmlformats.org/officeDocument/2006/relationships/hyperlink" Target="https://aoemj.biomedcentral.com/articles/10.1186/s40557-018-0212-5" TargetMode="External"/><Relationship Id="rId59" Type="http://schemas.openxmlformats.org/officeDocument/2006/relationships/hyperlink" Target="https://aoemj.biomedcentral.com/articles/10.1186/s40557-018-0212-5" TargetMode="External"/><Relationship Id="rId67" Type="http://schemas.openxmlformats.org/officeDocument/2006/relationships/hyperlink" Target="https://aoemj.biomedcentral.com/articles/10.1186/s40557-018-0212-5" TargetMode="External"/><Relationship Id="rId20" Type="http://schemas.openxmlformats.org/officeDocument/2006/relationships/hyperlink" Target="https://aoemj.biomedcentral.com/articles/10.1186/s40557-018-0212-5" TargetMode="External"/><Relationship Id="rId41" Type="http://schemas.openxmlformats.org/officeDocument/2006/relationships/hyperlink" Target="https://aoemj.biomedcentral.com/articles/10.1186/s40557-018-0212-5" TargetMode="External"/><Relationship Id="rId54" Type="http://schemas.openxmlformats.org/officeDocument/2006/relationships/hyperlink" Target="https://aoemj.biomedcentral.com/articles/10.1186/s40557-018-0212-5" TargetMode="External"/><Relationship Id="rId62" Type="http://schemas.openxmlformats.org/officeDocument/2006/relationships/hyperlink" Target="https://aoemj.biomedcentral.com/articles/10.1186/s40557-018-0212-5" TargetMode="External"/><Relationship Id="rId70" Type="http://schemas.openxmlformats.org/officeDocument/2006/relationships/hyperlink" Target="https://aoemj.biomedcentral.com/articles/10.1186/s40557-018-0212-5" TargetMode="External"/><Relationship Id="rId75" Type="http://schemas.openxmlformats.org/officeDocument/2006/relationships/hyperlink" Target="https://aoemj.biomedcentral.com/articles/10.1186/s40557-018-0212-5"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oemj.biomedcentral.com/articles/10.1186/s40557-018-0212-5" TargetMode="External"/><Relationship Id="rId23" Type="http://schemas.openxmlformats.org/officeDocument/2006/relationships/hyperlink" Target="https://aoemj.biomedcentral.com/articles/10.1186/s40557-018-0212-5" TargetMode="External"/><Relationship Id="rId28" Type="http://schemas.openxmlformats.org/officeDocument/2006/relationships/hyperlink" Target="https://aoemj.biomedcentral.com/articles/10.1186/s40557-018-0212-5" TargetMode="External"/><Relationship Id="rId36" Type="http://schemas.openxmlformats.org/officeDocument/2006/relationships/hyperlink" Target="https://aoemj.biomedcentral.com/articles/10.1186/s40557-018-0212-5" TargetMode="External"/><Relationship Id="rId49" Type="http://schemas.openxmlformats.org/officeDocument/2006/relationships/hyperlink" Target="https://aoemj.biomedcentral.com/articles/10.1186/s40557-018-0212-5" TargetMode="External"/><Relationship Id="rId57" Type="http://schemas.openxmlformats.org/officeDocument/2006/relationships/hyperlink" Target="https://aoemj.biomedcentral.com/articles/10.1186/s40557-018-0212-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4914</Words>
  <Characters>28016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 LAB 33</dc:creator>
  <cp:lastModifiedBy>DB LAB 33</cp:lastModifiedBy>
  <cp:revision>1</cp:revision>
  <dcterms:created xsi:type="dcterms:W3CDTF">2023-10-03T09:51:00Z</dcterms:created>
  <dcterms:modified xsi:type="dcterms:W3CDTF">2023-10-03T10:14:00Z</dcterms:modified>
</cp:coreProperties>
</file>