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B29C5" w14:textId="2CF80271" w:rsidR="004B1560" w:rsidRPr="00EE14CD" w:rsidRDefault="00EE14CD">
      <w:pPr>
        <w:rPr>
          <w:rFonts w:ascii="Times New Roman" w:hAnsi="Times New Roman" w:cs="Times New Roman"/>
          <w:sz w:val="28"/>
          <w:szCs w:val="28"/>
        </w:rPr>
      </w:pPr>
      <w:r w:rsidRPr="00EE14CD">
        <w:rPr>
          <w:rFonts w:ascii="Times New Roman" w:hAnsi="Times New Roman" w:cs="Times New Roman"/>
          <w:sz w:val="28"/>
          <w:szCs w:val="28"/>
        </w:rPr>
        <w:t>The visualizations facilitate the analysis of the student performance dataset with ease by providing clear, intuitive information on several facets of the data. The histogram of the total score helps in grasping the overall trend and outliers, whereas the gender-wise performance box plot shows any gender-based performance gap. The parental education level box plot indicates any correlation between student performance and parental education, showing any differential performance. The average subject-wise bar chart allows easy comparison of scores by subject, highlighting strengths and weaknesses. Finally, the pie chart of grade distribution provides a quick overview of the percentage of students in each grade category, helping to gauge general class performance. Each of the visualizations simplifies identifying trends, comparing groups, and making informed decisions.</w:t>
      </w:r>
    </w:p>
    <w:sectPr w:rsidR="004B1560" w:rsidRPr="00EE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CD"/>
    <w:rsid w:val="004B1560"/>
    <w:rsid w:val="00EE1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8546A"/>
  <w15:chartTrackingRefBased/>
  <w15:docId w15:val="{E7C6ABD3-86EF-4B79-86A9-5ECE953E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643</Characters>
  <Application>Microsoft Office Word</Application>
  <DocSecurity>0</DocSecurity>
  <Lines>45</Lines>
  <Paragraphs>58</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palakaluri</dc:creator>
  <cp:keywords/>
  <dc:description/>
  <cp:lastModifiedBy>Lalitha palakaluri</cp:lastModifiedBy>
  <cp:revision>1</cp:revision>
  <dcterms:created xsi:type="dcterms:W3CDTF">2025-03-05T05:35:00Z</dcterms:created>
  <dcterms:modified xsi:type="dcterms:W3CDTF">2025-03-05T05:38:00Z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95778743-3e7f-413d-a022-650ad740c7f4</vt:lpwstr>
  </property>
</Properties>
</file>