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5E11C">
      <w:pPr>
        <w:pStyle w:val="5"/>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bCs/>
          <w:sz w:val="28"/>
          <w:szCs w:val="28"/>
          <w:lang w:val="en-US"/>
        </w:rPr>
        <w:t>Introduction:</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ab/>
      </w:r>
      <w:r>
        <w:rPr>
          <w:rFonts w:hint="default" w:ascii="Times New Roman" w:hAnsi="Times New Roman" w:cs="Times New Roman"/>
          <w:b w:val="0"/>
          <w:bCs w:val="0"/>
          <w:sz w:val="24"/>
          <w:szCs w:val="24"/>
        </w:rPr>
        <w:t xml:space="preserve">Kubernetes is an open-source container orchestration platform designed to automate the deployment, scaling, and management of containerized applications. Originally developed by Google and now maintained by the </w:t>
      </w:r>
      <w:r>
        <w:rPr>
          <w:rStyle w:val="6"/>
          <w:rFonts w:hint="default" w:ascii="Times New Roman" w:hAnsi="Times New Roman" w:cs="Times New Roman"/>
          <w:b w:val="0"/>
          <w:bCs w:val="0"/>
          <w:sz w:val="24"/>
          <w:szCs w:val="24"/>
        </w:rPr>
        <w:t>Cloud Native Computing Foundation (CNCF)</w:t>
      </w:r>
      <w:r>
        <w:rPr>
          <w:rFonts w:hint="default" w:ascii="Times New Roman" w:hAnsi="Times New Roman" w:cs="Times New Roman"/>
          <w:b w:val="0"/>
          <w:bCs w:val="0"/>
          <w:sz w:val="24"/>
          <w:szCs w:val="24"/>
        </w:rPr>
        <w:t>, Kubernetes helps businesses manage complex applications efficiently across clusters of machines.</w:t>
      </w:r>
    </w:p>
    <w:p w14:paraId="350ADB15">
      <w:pPr>
        <w:pStyle w:val="5"/>
        <w:keepNext w:val="0"/>
        <w:keepLines w:val="0"/>
        <w:widowControl/>
        <w:suppressLineNumbers w:val="0"/>
        <w:ind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It enables developers to deploy applications using </w:t>
      </w:r>
      <w:r>
        <w:rPr>
          <w:rStyle w:val="6"/>
          <w:rFonts w:hint="default" w:ascii="Times New Roman" w:hAnsi="Times New Roman" w:cs="Times New Roman"/>
          <w:b w:val="0"/>
          <w:bCs w:val="0"/>
          <w:sz w:val="24"/>
          <w:szCs w:val="24"/>
        </w:rPr>
        <w:t>Pods</w:t>
      </w:r>
      <w:r>
        <w:rPr>
          <w:rFonts w:hint="default" w:ascii="Times New Roman" w:hAnsi="Times New Roman" w:cs="Times New Roman"/>
          <w:b w:val="0"/>
          <w:bCs w:val="0"/>
          <w:sz w:val="24"/>
          <w:szCs w:val="24"/>
        </w:rPr>
        <w:t xml:space="preserve">, which are the smallest deployable units, and scale them based on demand. Kubernetes ensures high availability by distributing workloads and automatically recovering failed containers. Key features include </w:t>
      </w:r>
      <w:r>
        <w:rPr>
          <w:rStyle w:val="6"/>
          <w:rFonts w:hint="default" w:ascii="Times New Roman" w:hAnsi="Times New Roman" w:cs="Times New Roman"/>
          <w:b w:val="0"/>
          <w:bCs w:val="0"/>
          <w:sz w:val="24"/>
          <w:szCs w:val="24"/>
        </w:rPr>
        <w:t>service discovery, load balancing, storage orchestration, self-healing, and automated rollouts/rollbacks</w:t>
      </w:r>
      <w:r>
        <w:rPr>
          <w:rFonts w:hint="default" w:ascii="Times New Roman" w:hAnsi="Times New Roman" w:cs="Times New Roman"/>
          <w:b w:val="0"/>
          <w:bCs w:val="0"/>
          <w:sz w:val="24"/>
          <w:szCs w:val="24"/>
        </w:rPr>
        <w:t>.</w:t>
      </w:r>
    </w:p>
    <w:p w14:paraId="779551E0">
      <w:pPr>
        <w:pStyle w:val="5"/>
        <w:keepNext w:val="0"/>
        <w:keepLines w:val="0"/>
        <w:widowControl/>
        <w:suppressLineNumbers w:val="0"/>
        <w:ind w:firstLine="7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Kubernetes supports multiple container runtimes like </w:t>
      </w:r>
      <w:r>
        <w:rPr>
          <w:rStyle w:val="6"/>
          <w:rFonts w:hint="default" w:ascii="Times New Roman" w:hAnsi="Times New Roman" w:cs="Times New Roman"/>
          <w:b w:val="0"/>
          <w:bCs w:val="0"/>
          <w:sz w:val="24"/>
          <w:szCs w:val="24"/>
        </w:rPr>
        <w:t>Docker, containerd, and CRI-O</w:t>
      </w:r>
      <w:r>
        <w:rPr>
          <w:rFonts w:hint="default" w:ascii="Times New Roman" w:hAnsi="Times New Roman" w:cs="Times New Roman"/>
          <w:b w:val="0"/>
          <w:bCs w:val="0"/>
          <w:sz w:val="24"/>
          <w:szCs w:val="24"/>
        </w:rPr>
        <w:t xml:space="preserve">, and integrates with cloud providers such as AWS, Azure, and Google Cloud. It allows organizations to adopt </w:t>
      </w:r>
      <w:r>
        <w:rPr>
          <w:rStyle w:val="6"/>
          <w:rFonts w:hint="default" w:ascii="Times New Roman" w:hAnsi="Times New Roman" w:cs="Times New Roman"/>
          <w:b w:val="0"/>
          <w:bCs w:val="0"/>
          <w:sz w:val="24"/>
          <w:szCs w:val="24"/>
        </w:rPr>
        <w:t>microservices architectures</w:t>
      </w:r>
      <w:r>
        <w:rPr>
          <w:rFonts w:hint="default" w:ascii="Times New Roman" w:hAnsi="Times New Roman" w:cs="Times New Roman"/>
          <w:b w:val="0"/>
          <w:bCs w:val="0"/>
          <w:sz w:val="24"/>
          <w:szCs w:val="24"/>
        </w:rPr>
        <w:t xml:space="preserve"> and DevOps practices seamlessly. With its declarative approach, Kubernetes simplifies infrastructure management and improves application reliability.</w:t>
      </w:r>
    </w:p>
    <w:p w14:paraId="5B434FBC">
      <w:pPr>
        <w:jc w:val="both"/>
        <w:rPr>
          <w:rFonts w:hint="default" w:ascii="Times New Roman" w:hAnsi="Times New Roman" w:cs="Times New Roman"/>
          <w:b/>
          <w:bCs/>
          <w:sz w:val="28"/>
          <w:szCs w:val="28"/>
          <w:lang w:val="en-US"/>
        </w:rPr>
      </w:pPr>
    </w:p>
    <w:p w14:paraId="64EC67E1">
      <w:pPr>
        <w:rPr>
          <w:rFonts w:hint="default" w:ascii="Times New Roman" w:hAnsi="Times New Roman" w:cs="Times New Roman"/>
          <w:b/>
          <w:bCs/>
          <w:sz w:val="28"/>
          <w:szCs w:val="28"/>
          <w:lang w:val="en-US"/>
        </w:rPr>
      </w:pPr>
    </w:p>
    <w:p w14:paraId="34EE92FD">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Installing Minikube</w:t>
      </w:r>
    </w:p>
    <w:p w14:paraId="094A32F9">
      <w:pPr>
        <w:rPr>
          <w:rFonts w:hint="default" w:ascii="Times New Roman" w:hAnsi="Times New Roman" w:cs="Times New Roman"/>
          <w:b/>
          <w:bCs/>
          <w:sz w:val="28"/>
          <w:szCs w:val="28"/>
          <w:lang w:val="en-US"/>
        </w:rPr>
      </w:pPr>
    </w:p>
    <w:p w14:paraId="656FD830">
      <w:pPr>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ab/>
      </w:r>
      <w:r>
        <w:rPr>
          <w:rFonts w:hint="default" w:ascii="Times New Roman" w:hAnsi="Times New Roman" w:eastAsia="SimSun" w:cs="Times New Roman"/>
          <w:sz w:val="24"/>
          <w:szCs w:val="24"/>
        </w:rPr>
        <w:t xml:space="preserve">The command </w:t>
      </w:r>
      <w:r>
        <w:rPr>
          <w:rStyle w:val="4"/>
          <w:rFonts w:hint="default" w:ascii="Times New Roman" w:hAnsi="Times New Roman" w:eastAsia="SimSun" w:cs="Times New Roman"/>
          <w:sz w:val="24"/>
          <w:szCs w:val="24"/>
        </w:rPr>
        <w:t>curl -LO https://github.com/kubernetes/minikube/releases/latest/download/minikube-linux-amd64</w:t>
      </w:r>
      <w:r>
        <w:rPr>
          <w:rFonts w:hint="default" w:ascii="Times New Roman" w:hAnsi="Times New Roman" w:eastAsia="SimSun" w:cs="Times New Roman"/>
          <w:sz w:val="24"/>
          <w:szCs w:val="24"/>
        </w:rPr>
        <w:t xml:space="preserve"> downloads the latest Minikube binary for Linux (AMD64) from GitHub, following any redirects and saving the file with its original name. This allows you to set up and manage local Kubernetes clusters.</w:t>
      </w:r>
    </w:p>
    <w:p w14:paraId="0DD1AACA">
      <w:pPr>
        <w:rPr>
          <w:rFonts w:hint="default" w:ascii="Times New Roman" w:hAnsi="Times New Roman" w:cs="Times New Roman"/>
          <w:b/>
          <w:bCs/>
          <w:sz w:val="28"/>
          <w:szCs w:val="28"/>
          <w:lang w:val="en-US"/>
        </w:rPr>
      </w:pPr>
    </w:p>
    <w:p w14:paraId="1FA43D5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58485" cy="1725930"/>
            <wp:effectExtent l="0" t="0" r="10795" b="11430"/>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
                    <pic:cNvPicPr>
                      <a:picLocks noChangeAspect="1"/>
                    </pic:cNvPicPr>
                  </pic:nvPicPr>
                  <pic:blipFill>
                    <a:blip r:embed="rId4"/>
                    <a:stretch>
                      <a:fillRect/>
                    </a:stretch>
                  </pic:blipFill>
                  <pic:spPr>
                    <a:xfrm>
                      <a:off x="0" y="0"/>
                      <a:ext cx="5658485" cy="1725930"/>
                    </a:xfrm>
                    <a:prstGeom prst="rect">
                      <a:avLst/>
                    </a:prstGeom>
                  </pic:spPr>
                </pic:pic>
              </a:graphicData>
            </a:graphic>
          </wp:inline>
        </w:drawing>
      </w:r>
    </w:p>
    <w:p w14:paraId="632F9E0F">
      <w:pPr>
        <w:rPr>
          <w:rFonts w:hint="default" w:ascii="Times New Roman" w:hAnsi="Times New Roman" w:cs="Times New Roman"/>
          <w:b/>
          <w:bCs/>
          <w:sz w:val="28"/>
          <w:szCs w:val="28"/>
          <w:lang w:val="en-US"/>
        </w:rPr>
      </w:pPr>
    </w:p>
    <w:p w14:paraId="04947B87">
      <w:pPr>
        <w:rPr>
          <w:rFonts w:hint="default" w:ascii="Times New Roman" w:hAnsi="Times New Roman" w:cs="Times New Roman"/>
          <w:b/>
          <w:bCs/>
          <w:sz w:val="28"/>
          <w:szCs w:val="28"/>
          <w:lang w:val="en-US"/>
        </w:rPr>
      </w:pPr>
    </w:p>
    <w:p w14:paraId="2BA613F2">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Starting Minikube</w:t>
      </w:r>
    </w:p>
    <w:p w14:paraId="07292136">
      <w:pPr>
        <w:rPr>
          <w:rFonts w:hint="default" w:ascii="Times New Roman" w:hAnsi="Times New Roman" w:cs="Times New Roman"/>
          <w:b/>
          <w:bCs/>
          <w:sz w:val="28"/>
          <w:szCs w:val="28"/>
          <w:lang w:val="en-US"/>
        </w:rPr>
      </w:pPr>
    </w:p>
    <w:p w14:paraId="7264CFC6">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4"/>
          <w:rFonts w:hint="default" w:ascii="Times New Roman" w:hAnsi="Times New Roman" w:eastAsia="SimSun" w:cs="Times New Roman"/>
          <w:sz w:val="24"/>
          <w:szCs w:val="24"/>
        </w:rPr>
        <w:t>minikube start</w:t>
      </w:r>
      <w:r>
        <w:rPr>
          <w:rFonts w:hint="default" w:ascii="Times New Roman" w:hAnsi="Times New Roman" w:eastAsia="SimSun" w:cs="Times New Roman"/>
          <w:sz w:val="24"/>
          <w:szCs w:val="24"/>
        </w:rPr>
        <w:t xml:space="preserve"> command initializes a local Kubernetes cluster on your machine using Minikube. It downloads the necessary Kubernetes components and starts a virtual machine or container, depending on the environment, to run the cluster. Once executed, it sets up the cluster, allowing you to deploy and manage Kubernetes workloads locally for development and testing purposes.</w:t>
      </w:r>
    </w:p>
    <w:p w14:paraId="5DE5D4FC">
      <w:pPr>
        <w:ind w:firstLine="720" w:firstLineChars="0"/>
        <w:rPr>
          <w:rFonts w:hint="default" w:ascii="Times New Roman" w:hAnsi="Times New Roman" w:eastAsia="SimSun" w:cs="Times New Roman"/>
          <w:sz w:val="24"/>
          <w:szCs w:val="24"/>
          <w:lang w:val="en-US"/>
        </w:rPr>
      </w:pPr>
    </w:p>
    <w:p w14:paraId="2FFE33EC">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704840" cy="1604010"/>
            <wp:effectExtent l="0" t="0" r="10160" b="1143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704840" cy="1604010"/>
                    </a:xfrm>
                    <a:prstGeom prst="rect">
                      <a:avLst/>
                    </a:prstGeom>
                  </pic:spPr>
                </pic:pic>
              </a:graphicData>
            </a:graphic>
          </wp:inline>
        </w:drawing>
      </w:r>
    </w:p>
    <w:p w14:paraId="33E0660F">
      <w:pPr>
        <w:rPr>
          <w:rFonts w:hint="default" w:ascii="Times New Roman" w:hAnsi="Times New Roman" w:cs="Times New Roman"/>
          <w:b/>
          <w:bCs/>
          <w:sz w:val="28"/>
          <w:szCs w:val="28"/>
          <w:lang w:val="en-US"/>
        </w:rPr>
      </w:pPr>
    </w:p>
    <w:p w14:paraId="3F1644C0">
      <w:pPr>
        <w:rPr>
          <w:rFonts w:hint="default" w:ascii="Times New Roman" w:hAnsi="Times New Roman" w:cs="Times New Roman"/>
          <w:b/>
          <w:bCs/>
          <w:sz w:val="28"/>
          <w:szCs w:val="28"/>
          <w:lang w:val="en-US"/>
        </w:rPr>
      </w:pPr>
    </w:p>
    <w:p w14:paraId="29E014B7">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Deploying the image</w:t>
      </w:r>
    </w:p>
    <w:p w14:paraId="560C206F">
      <w:pPr>
        <w:rPr>
          <w:rFonts w:hint="default" w:ascii="Times New Roman" w:hAnsi="Times New Roman" w:cs="Times New Roman"/>
          <w:b/>
          <w:bCs/>
          <w:sz w:val="28"/>
          <w:szCs w:val="28"/>
          <w:lang w:val="en-US"/>
        </w:rPr>
      </w:pPr>
    </w:p>
    <w:p w14:paraId="529CCCD5">
      <w:pPr>
        <w:ind w:firstLine="720" w:firstLine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The command </w:t>
      </w:r>
      <w:r>
        <w:rPr>
          <w:rStyle w:val="4"/>
          <w:rFonts w:hint="default" w:ascii="Times New Roman" w:hAnsi="Times New Roman" w:eastAsia="SimSun" w:cs="Times New Roman"/>
          <w:sz w:val="24"/>
          <w:szCs w:val="24"/>
        </w:rPr>
        <w:t>kubectl create deployment pro --image=lalithambigai011004/task2 --port=80</w:t>
      </w:r>
      <w:r>
        <w:rPr>
          <w:rFonts w:hint="default" w:ascii="Times New Roman" w:hAnsi="Times New Roman" w:eastAsia="SimSun" w:cs="Times New Roman"/>
          <w:sz w:val="24"/>
          <w:szCs w:val="24"/>
        </w:rPr>
        <w:t xml:space="preserve"> creates a new Kubernetes deployment named "pro". It uses the Docker image </w:t>
      </w:r>
      <w:r>
        <w:rPr>
          <w:rStyle w:val="4"/>
          <w:rFonts w:hint="default" w:ascii="Times New Roman" w:hAnsi="Times New Roman" w:eastAsia="SimSun" w:cs="Times New Roman"/>
          <w:sz w:val="24"/>
          <w:szCs w:val="24"/>
        </w:rPr>
        <w:t>lalithambigai011004/task2</w:t>
      </w:r>
      <w:r>
        <w:rPr>
          <w:rFonts w:hint="default" w:ascii="Times New Roman" w:hAnsi="Times New Roman" w:eastAsia="SimSun" w:cs="Times New Roman"/>
          <w:sz w:val="24"/>
          <w:szCs w:val="24"/>
        </w:rPr>
        <w:t xml:space="preserve"> from a container registry (such as Docker Hub) to create the deployment. The </w:t>
      </w:r>
      <w:r>
        <w:rPr>
          <w:rStyle w:val="4"/>
          <w:rFonts w:hint="default" w:ascii="Times New Roman" w:hAnsi="Times New Roman" w:eastAsia="SimSun" w:cs="Times New Roman"/>
          <w:sz w:val="24"/>
          <w:szCs w:val="24"/>
        </w:rPr>
        <w:t>--port=80</w:t>
      </w:r>
      <w:r>
        <w:rPr>
          <w:rFonts w:hint="default" w:ascii="Times New Roman" w:hAnsi="Times New Roman" w:eastAsia="SimSun" w:cs="Times New Roman"/>
          <w:sz w:val="24"/>
          <w:szCs w:val="24"/>
        </w:rPr>
        <w:t xml:space="preserve"> option exposes port 80 within the deployment, allowing the application to listen on that port. Once executed, this command deploys the specified containerized application within your Kubernetes cluster.</w:t>
      </w:r>
    </w:p>
    <w:p w14:paraId="449F6AEF">
      <w:pPr>
        <w:rPr>
          <w:rFonts w:hint="default" w:ascii="Times New Roman" w:hAnsi="Times New Roman" w:cs="Times New Roman"/>
          <w:b/>
          <w:bCs/>
          <w:sz w:val="28"/>
          <w:szCs w:val="28"/>
          <w:lang w:val="en-US"/>
        </w:rPr>
      </w:pPr>
    </w:p>
    <w:p w14:paraId="4AC8D518">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784850" cy="385445"/>
            <wp:effectExtent l="0" t="0" r="6350" b="1079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784850" cy="385445"/>
                    </a:xfrm>
                    <a:prstGeom prst="rect">
                      <a:avLst/>
                    </a:prstGeom>
                  </pic:spPr>
                </pic:pic>
              </a:graphicData>
            </a:graphic>
          </wp:inline>
        </w:drawing>
      </w:r>
    </w:p>
    <w:p w14:paraId="79F9EA17">
      <w:pPr>
        <w:rPr>
          <w:rFonts w:hint="default" w:ascii="Times New Roman" w:hAnsi="Times New Roman" w:cs="Times New Roman"/>
          <w:b/>
          <w:bCs/>
          <w:sz w:val="28"/>
          <w:szCs w:val="28"/>
          <w:lang w:val="en-US"/>
        </w:rPr>
      </w:pPr>
    </w:p>
    <w:p w14:paraId="210DD7FF">
      <w:pPr>
        <w:rPr>
          <w:rFonts w:hint="default" w:ascii="Times New Roman" w:hAnsi="Times New Roman" w:cs="Times New Roman"/>
          <w:b/>
          <w:bCs/>
          <w:sz w:val="28"/>
          <w:szCs w:val="28"/>
          <w:lang w:val="en-US"/>
        </w:rPr>
      </w:pPr>
    </w:p>
    <w:p w14:paraId="0181887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Exposing the deployed image</w:t>
      </w:r>
    </w:p>
    <w:p w14:paraId="2E59D94B">
      <w:pPr>
        <w:rPr>
          <w:rFonts w:hint="default" w:ascii="Times New Roman" w:hAnsi="Times New Roman" w:cs="Times New Roman"/>
          <w:b/>
          <w:bCs/>
          <w:sz w:val="28"/>
          <w:szCs w:val="28"/>
          <w:lang w:val="en-US"/>
        </w:rPr>
      </w:pPr>
    </w:p>
    <w:p w14:paraId="0F984A14">
      <w:pPr>
        <w:ind w:firstLine="720" w:firstLineChars="0"/>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rPr>
        <w:t xml:space="preserve">The command </w:t>
      </w:r>
      <w:r>
        <w:rPr>
          <w:rStyle w:val="4"/>
          <w:rFonts w:hint="default" w:ascii="Times New Roman" w:hAnsi="Times New Roman" w:eastAsia="SimSun" w:cs="Times New Roman"/>
          <w:sz w:val="24"/>
          <w:szCs w:val="24"/>
        </w:rPr>
        <w:t>kubectl expose deployment pro --type=NodePort --port=80</w:t>
      </w:r>
      <w:r>
        <w:rPr>
          <w:rFonts w:hint="default" w:ascii="Times New Roman" w:hAnsi="Times New Roman" w:eastAsia="SimSun" w:cs="Times New Roman"/>
          <w:sz w:val="24"/>
          <w:szCs w:val="24"/>
        </w:rPr>
        <w:t xml:space="preserve"> exposes the "pro" deployment as a Kubernetes service. It creates a service of type </w:t>
      </w:r>
      <w:r>
        <w:rPr>
          <w:rStyle w:val="4"/>
          <w:rFonts w:hint="default" w:ascii="Times New Roman" w:hAnsi="Times New Roman" w:eastAsia="SimSun" w:cs="Times New Roman"/>
          <w:sz w:val="24"/>
          <w:szCs w:val="24"/>
        </w:rPr>
        <w:t>NodePort</w:t>
      </w:r>
      <w:r>
        <w:rPr>
          <w:rFonts w:hint="default" w:ascii="Times New Roman" w:hAnsi="Times New Roman" w:eastAsia="SimSun" w:cs="Times New Roman"/>
          <w:sz w:val="24"/>
          <w:szCs w:val="24"/>
        </w:rPr>
        <w:t xml:space="preserve">, which makes the application accessible from outside the cluster on a specific port (usually in the range 30000-32767). The </w:t>
      </w:r>
      <w:r>
        <w:rPr>
          <w:rStyle w:val="4"/>
          <w:rFonts w:hint="default" w:ascii="Times New Roman" w:hAnsi="Times New Roman" w:eastAsia="SimSun" w:cs="Times New Roman"/>
          <w:sz w:val="24"/>
          <w:szCs w:val="24"/>
        </w:rPr>
        <w:t>--port=80</w:t>
      </w:r>
      <w:r>
        <w:rPr>
          <w:rFonts w:hint="default" w:ascii="Times New Roman" w:hAnsi="Times New Roman" w:eastAsia="SimSun" w:cs="Times New Roman"/>
          <w:sz w:val="24"/>
          <w:szCs w:val="24"/>
        </w:rPr>
        <w:t xml:space="preserve"> option specifies that the service will forward traffic on port 80 to the deployment, allowing external access to the application via the NodePort. Once executed, this command enables external users to access the application through the IP of any node in the cluster and the allocated port.</w:t>
      </w:r>
    </w:p>
    <w:p w14:paraId="2AE5AAF8">
      <w:pPr>
        <w:rPr>
          <w:rFonts w:hint="default" w:ascii="Times New Roman" w:hAnsi="Times New Roman" w:cs="Times New Roman"/>
          <w:b/>
          <w:bCs/>
          <w:sz w:val="28"/>
          <w:szCs w:val="28"/>
          <w:lang w:val="en-US"/>
        </w:rPr>
      </w:pPr>
    </w:p>
    <w:p w14:paraId="24897A9D">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47055" cy="615950"/>
            <wp:effectExtent l="0" t="0" r="6985" b="889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647055" cy="615950"/>
                    </a:xfrm>
                    <a:prstGeom prst="rect">
                      <a:avLst/>
                    </a:prstGeom>
                  </pic:spPr>
                </pic:pic>
              </a:graphicData>
            </a:graphic>
          </wp:inline>
        </w:drawing>
      </w:r>
    </w:p>
    <w:p w14:paraId="3520367E">
      <w:pPr>
        <w:rPr>
          <w:rFonts w:hint="default" w:ascii="Times New Roman" w:hAnsi="Times New Roman" w:cs="Times New Roman"/>
          <w:b/>
          <w:bCs/>
          <w:sz w:val="28"/>
          <w:szCs w:val="28"/>
          <w:lang w:val="en-US"/>
        </w:rPr>
      </w:pPr>
    </w:p>
    <w:p w14:paraId="0E710341">
      <w:pPr>
        <w:rPr>
          <w:rFonts w:hint="default" w:ascii="Times New Roman" w:hAnsi="Times New Roman" w:cs="Times New Roman"/>
          <w:b/>
          <w:bCs/>
          <w:sz w:val="28"/>
          <w:szCs w:val="28"/>
          <w:lang w:val="en-US"/>
        </w:rPr>
      </w:pPr>
    </w:p>
    <w:p w14:paraId="0978622A">
      <w:pPr>
        <w:rPr>
          <w:rFonts w:hint="default" w:ascii="Times New Roman" w:hAnsi="Times New Roman" w:cs="Times New Roman"/>
          <w:b/>
          <w:bCs/>
          <w:sz w:val="28"/>
          <w:szCs w:val="28"/>
          <w:lang w:val="en-US"/>
        </w:rPr>
      </w:pPr>
    </w:p>
    <w:p w14:paraId="48A2BDEB">
      <w:pPr>
        <w:rPr>
          <w:rFonts w:hint="default" w:ascii="Times New Roman" w:hAnsi="Times New Roman" w:cs="Times New Roman"/>
          <w:b/>
          <w:bCs/>
          <w:sz w:val="28"/>
          <w:szCs w:val="28"/>
          <w:lang w:val="en-US"/>
        </w:rPr>
      </w:pPr>
    </w:p>
    <w:p w14:paraId="20A13614">
      <w:pPr>
        <w:rPr>
          <w:rFonts w:hint="default" w:ascii="Times New Roman" w:hAnsi="Times New Roman" w:cs="Times New Roman"/>
          <w:b/>
          <w:bCs/>
          <w:sz w:val="28"/>
          <w:szCs w:val="28"/>
          <w:lang w:val="en-US"/>
        </w:rPr>
      </w:pPr>
    </w:p>
    <w:p w14:paraId="553E7D0A">
      <w:pPr>
        <w:rPr>
          <w:rFonts w:hint="default" w:ascii="Times New Roman" w:hAnsi="Times New Roman" w:cs="Times New Roman"/>
          <w:b/>
          <w:bCs/>
          <w:sz w:val="28"/>
          <w:szCs w:val="28"/>
          <w:lang w:val="en-US"/>
        </w:rPr>
      </w:pPr>
    </w:p>
    <w:p w14:paraId="659D4287">
      <w:pPr>
        <w:rPr>
          <w:rFonts w:hint="default" w:ascii="Times New Roman" w:hAnsi="Times New Roman" w:cs="Times New Roman"/>
          <w:b/>
          <w:bCs/>
          <w:sz w:val="28"/>
          <w:szCs w:val="28"/>
          <w:lang w:val="en-US"/>
        </w:rPr>
      </w:pPr>
    </w:p>
    <w:p w14:paraId="33FC1E86">
      <w:pPr>
        <w:rPr>
          <w:rFonts w:hint="default" w:ascii="Times New Roman" w:hAnsi="Times New Roman" w:cs="Times New Roman"/>
          <w:b/>
          <w:bCs/>
          <w:sz w:val="28"/>
          <w:szCs w:val="28"/>
          <w:lang w:val="en-US"/>
        </w:rPr>
      </w:pPr>
    </w:p>
    <w:p w14:paraId="127C5417">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Getting Services</w:t>
      </w:r>
    </w:p>
    <w:p w14:paraId="69B75327">
      <w:pPr>
        <w:rPr>
          <w:rFonts w:hint="default" w:ascii="Times New Roman" w:hAnsi="Times New Roman" w:cs="Times New Roman"/>
          <w:b/>
          <w:bCs/>
          <w:sz w:val="28"/>
          <w:szCs w:val="28"/>
          <w:lang w:val="en-US"/>
        </w:rPr>
      </w:pPr>
    </w:p>
    <w:p w14:paraId="69377FDB">
      <w:pPr>
        <w:ind w:firstLine="720" w:firstLineChars="0"/>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rPr>
        <w:t xml:space="preserve">The command </w:t>
      </w:r>
      <w:r>
        <w:rPr>
          <w:rStyle w:val="4"/>
          <w:rFonts w:hint="default" w:ascii="Times New Roman" w:hAnsi="Times New Roman" w:eastAsia="SimSun" w:cs="Times New Roman"/>
          <w:sz w:val="24"/>
          <w:szCs w:val="24"/>
        </w:rPr>
        <w:t>kubectl get services</w:t>
      </w:r>
      <w:r>
        <w:rPr>
          <w:rFonts w:hint="default" w:ascii="Times New Roman" w:hAnsi="Times New Roman" w:eastAsia="SimSun" w:cs="Times New Roman"/>
          <w:sz w:val="24"/>
          <w:szCs w:val="24"/>
        </w:rPr>
        <w:t xml:space="preserve"> (or </w:t>
      </w:r>
      <w:r>
        <w:rPr>
          <w:rStyle w:val="4"/>
          <w:rFonts w:hint="default" w:ascii="Times New Roman" w:hAnsi="Times New Roman" w:eastAsia="SimSun" w:cs="Times New Roman"/>
          <w:sz w:val="24"/>
          <w:szCs w:val="24"/>
        </w:rPr>
        <w:t>kubectl get svc</w:t>
      </w:r>
      <w:r>
        <w:rPr>
          <w:rFonts w:hint="default" w:ascii="Times New Roman" w:hAnsi="Times New Roman" w:eastAsia="SimSun" w:cs="Times New Roman"/>
          <w:sz w:val="24"/>
          <w:szCs w:val="24"/>
        </w:rPr>
        <w:t>) lists all the services running in the current Kubernetes cluster. It displays the services' names, types (e.g., ClusterIP, NodePort, LoadBalancer), cluster-internal IP addresses, external IP addresses (if applicable), and the ports the services are exposed on. This command helps you monitor and manage the services available in your Kubernetes cluster.</w:t>
      </w:r>
    </w:p>
    <w:p w14:paraId="2FF920D7">
      <w:pPr>
        <w:rPr>
          <w:rFonts w:hint="default" w:ascii="Times New Roman" w:hAnsi="Times New Roman" w:cs="Times New Roman"/>
          <w:b/>
          <w:bCs/>
          <w:sz w:val="28"/>
          <w:szCs w:val="28"/>
          <w:lang w:val="en-US"/>
        </w:rPr>
      </w:pPr>
    </w:p>
    <w:p w14:paraId="743FC3EF">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92140" cy="984250"/>
            <wp:effectExtent l="0" t="0" r="7620" b="6350"/>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692140" cy="984250"/>
                    </a:xfrm>
                    <a:prstGeom prst="rect">
                      <a:avLst/>
                    </a:prstGeom>
                  </pic:spPr>
                </pic:pic>
              </a:graphicData>
            </a:graphic>
          </wp:inline>
        </w:drawing>
      </w:r>
    </w:p>
    <w:p w14:paraId="1F5091C2">
      <w:pPr>
        <w:rPr>
          <w:rFonts w:hint="default" w:ascii="Times New Roman" w:hAnsi="Times New Roman" w:cs="Times New Roman"/>
          <w:b/>
          <w:bCs/>
          <w:sz w:val="28"/>
          <w:szCs w:val="28"/>
          <w:lang w:val="en-US"/>
        </w:rPr>
      </w:pPr>
    </w:p>
    <w:p w14:paraId="6D8C2F21">
      <w:pPr>
        <w:rPr>
          <w:rFonts w:hint="default" w:ascii="Times New Roman" w:hAnsi="Times New Roman" w:cs="Times New Roman"/>
          <w:b/>
          <w:bCs/>
          <w:sz w:val="28"/>
          <w:szCs w:val="28"/>
          <w:lang w:val="en-US"/>
        </w:rPr>
      </w:pPr>
    </w:p>
    <w:p w14:paraId="043562B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Listing the Services </w:t>
      </w:r>
    </w:p>
    <w:p w14:paraId="297B878F">
      <w:pPr>
        <w:rPr>
          <w:rFonts w:hint="default" w:ascii="Times New Roman" w:hAnsi="Times New Roman" w:cs="Times New Roman"/>
          <w:b/>
          <w:bCs/>
          <w:sz w:val="28"/>
          <w:szCs w:val="28"/>
          <w:lang w:val="en-US"/>
        </w:rPr>
      </w:pPr>
    </w:p>
    <w:p w14:paraId="3D5600F2">
      <w:pPr>
        <w:ind w:firstLine="720" w:firstLineChars="0"/>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rPr>
        <w:t xml:space="preserve">The command </w:t>
      </w:r>
      <w:r>
        <w:rPr>
          <w:rStyle w:val="4"/>
          <w:rFonts w:hint="default" w:ascii="Times New Roman" w:hAnsi="Times New Roman" w:eastAsia="SimSun" w:cs="Times New Roman"/>
          <w:sz w:val="24"/>
          <w:szCs w:val="24"/>
        </w:rPr>
        <w:t>minikube service list</w:t>
      </w:r>
      <w:r>
        <w:rPr>
          <w:rFonts w:hint="default" w:ascii="Times New Roman" w:hAnsi="Times New Roman" w:eastAsia="SimSun" w:cs="Times New Roman"/>
          <w:sz w:val="24"/>
          <w:szCs w:val="24"/>
        </w:rPr>
        <w:t xml:space="preserve"> lists all the services that are currently exposed in your Minikube cluster. It shows the name of each service, its URL, and the corresponding port for accessing the service externally. This command helps you quickly find the accessible endpoints for your services running in the Minikube cluster.</w:t>
      </w:r>
    </w:p>
    <w:p w14:paraId="104C1ED7">
      <w:pPr>
        <w:rPr>
          <w:rFonts w:hint="default" w:ascii="Times New Roman" w:hAnsi="Times New Roman" w:cs="Times New Roman"/>
          <w:b/>
          <w:bCs/>
          <w:sz w:val="28"/>
          <w:szCs w:val="28"/>
          <w:lang w:val="en-US"/>
        </w:rPr>
      </w:pPr>
    </w:p>
    <w:p w14:paraId="00A137A0">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784215" cy="1171575"/>
            <wp:effectExtent l="0" t="0" r="6985" b="190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784215" cy="1171575"/>
                    </a:xfrm>
                    <a:prstGeom prst="rect">
                      <a:avLst/>
                    </a:prstGeom>
                  </pic:spPr>
                </pic:pic>
              </a:graphicData>
            </a:graphic>
          </wp:inline>
        </w:drawing>
      </w:r>
    </w:p>
    <w:p w14:paraId="68A5D8CB">
      <w:pPr>
        <w:rPr>
          <w:rFonts w:hint="default" w:ascii="Times New Roman" w:hAnsi="Times New Roman" w:cs="Times New Roman"/>
          <w:b/>
          <w:bCs/>
          <w:sz w:val="28"/>
          <w:szCs w:val="28"/>
          <w:lang w:val="en-US"/>
        </w:rPr>
      </w:pPr>
    </w:p>
    <w:p w14:paraId="501A37A4">
      <w:pPr>
        <w:rPr>
          <w:rFonts w:hint="default" w:ascii="Times New Roman" w:hAnsi="Times New Roman" w:cs="Times New Roman"/>
          <w:b/>
          <w:bCs/>
          <w:sz w:val="28"/>
          <w:szCs w:val="28"/>
          <w:lang w:val="en-US"/>
        </w:rPr>
      </w:pPr>
    </w:p>
    <w:p w14:paraId="6834607A">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Getting URL:</w:t>
      </w:r>
    </w:p>
    <w:p w14:paraId="1FF15462">
      <w:pPr>
        <w:rPr>
          <w:rFonts w:hint="default" w:ascii="Times New Roman" w:hAnsi="Times New Roman" w:cs="Times New Roman"/>
          <w:b/>
          <w:bCs/>
          <w:sz w:val="28"/>
          <w:szCs w:val="28"/>
          <w:lang w:val="en-US"/>
        </w:rPr>
      </w:pPr>
    </w:p>
    <w:p w14:paraId="0112CB41">
      <w:pPr>
        <w:ind w:firstLine="720" w:firstLineChars="0"/>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rPr>
        <w:t xml:space="preserve">The command </w:t>
      </w:r>
      <w:r>
        <w:rPr>
          <w:rStyle w:val="4"/>
          <w:rFonts w:hint="default" w:ascii="Times New Roman" w:hAnsi="Times New Roman" w:eastAsia="SimSun" w:cs="Times New Roman"/>
          <w:sz w:val="24"/>
          <w:szCs w:val="24"/>
        </w:rPr>
        <w:t>minikube service task2 --url</w:t>
      </w:r>
      <w:r>
        <w:rPr>
          <w:rFonts w:hint="default" w:ascii="Times New Roman" w:hAnsi="Times New Roman" w:eastAsia="SimSun" w:cs="Times New Roman"/>
          <w:sz w:val="24"/>
          <w:szCs w:val="24"/>
        </w:rPr>
        <w:t xml:space="preserve"> retrieves the external URL for accessing the </w:t>
      </w:r>
      <w:r>
        <w:rPr>
          <w:rStyle w:val="4"/>
          <w:rFonts w:hint="default" w:ascii="Times New Roman" w:hAnsi="Times New Roman" w:eastAsia="SimSun" w:cs="Times New Roman"/>
          <w:sz w:val="24"/>
          <w:szCs w:val="24"/>
        </w:rPr>
        <w:t>task2</w:t>
      </w:r>
      <w:r>
        <w:rPr>
          <w:rFonts w:hint="default" w:ascii="Times New Roman" w:hAnsi="Times New Roman" w:eastAsia="SimSun" w:cs="Times New Roman"/>
          <w:sz w:val="24"/>
          <w:szCs w:val="24"/>
        </w:rPr>
        <w:t xml:space="preserve"> service in your Minikube cluster. This URL includes the IP address and port where the service is exposed, allowing you to access it from your browser or other clients outside the cluster. This is useful when you want to quickly access a service running in Minikube without manually looking up the URL or port.</w:t>
      </w:r>
    </w:p>
    <w:p w14:paraId="4452F51B">
      <w:pPr>
        <w:rPr>
          <w:rFonts w:hint="default" w:ascii="Times New Roman" w:hAnsi="Times New Roman" w:cs="Times New Roman"/>
          <w:b/>
          <w:bCs/>
          <w:sz w:val="28"/>
          <w:szCs w:val="28"/>
          <w:lang w:val="en-US"/>
        </w:rPr>
      </w:pPr>
    </w:p>
    <w:p w14:paraId="2E4E841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773420" cy="402590"/>
            <wp:effectExtent l="0" t="0" r="2540" b="8890"/>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773420" cy="402590"/>
                    </a:xfrm>
                    <a:prstGeom prst="rect">
                      <a:avLst/>
                    </a:prstGeom>
                  </pic:spPr>
                </pic:pic>
              </a:graphicData>
            </a:graphic>
          </wp:inline>
        </w:drawing>
      </w:r>
    </w:p>
    <w:p w14:paraId="71897C08">
      <w:pPr>
        <w:rPr>
          <w:rFonts w:hint="default" w:ascii="Times New Roman" w:hAnsi="Times New Roman" w:cs="Times New Roman"/>
          <w:b/>
          <w:bCs/>
          <w:sz w:val="28"/>
          <w:szCs w:val="28"/>
          <w:lang w:val="en-US"/>
        </w:rPr>
      </w:pPr>
    </w:p>
    <w:p w14:paraId="78B052E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1BEB895B">
      <w:pPr>
        <w:rPr>
          <w:rFonts w:hint="default" w:ascii="Times New Roman" w:hAnsi="Times New Roman" w:cs="Times New Roman"/>
          <w:b/>
          <w:bCs/>
          <w:sz w:val="28"/>
          <w:szCs w:val="28"/>
          <w:lang w:val="en-US"/>
        </w:rPr>
      </w:pPr>
    </w:p>
    <w:p w14:paraId="0C1DDD85">
      <w:pPr>
        <w:rPr>
          <w:rFonts w:hint="default" w:ascii="Times New Roman" w:hAnsi="Times New Roman" w:cs="Times New Roman"/>
          <w:b/>
          <w:bCs/>
          <w:sz w:val="28"/>
          <w:szCs w:val="28"/>
          <w:lang w:val="en-US"/>
        </w:rPr>
      </w:pPr>
    </w:p>
    <w:p w14:paraId="5B1784C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766435" cy="3384550"/>
            <wp:effectExtent l="0" t="0" r="9525" b="1397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1"/>
                    <a:stretch>
                      <a:fillRect/>
                    </a:stretch>
                  </pic:blipFill>
                  <pic:spPr>
                    <a:xfrm>
                      <a:off x="0" y="0"/>
                      <a:ext cx="5766435" cy="3384550"/>
                    </a:xfrm>
                    <a:prstGeom prst="rect">
                      <a:avLst/>
                    </a:prstGeom>
                  </pic:spPr>
                </pic:pic>
              </a:graphicData>
            </a:graphic>
          </wp:inline>
        </w:drawing>
      </w:r>
    </w:p>
    <w:p w14:paraId="08B3F866">
      <w:pPr>
        <w:rPr>
          <w:rFonts w:hint="default" w:ascii="Times New Roman" w:hAnsi="Times New Roman" w:cs="Times New Roman"/>
          <w:b/>
          <w:bCs/>
          <w:sz w:val="28"/>
          <w:szCs w:val="28"/>
          <w:lang w:val="en-US"/>
        </w:rPr>
      </w:pPr>
    </w:p>
    <w:p w14:paraId="14330F4E">
      <w:pPr>
        <w:rPr>
          <w:rFonts w:hint="default" w:ascii="Times New Roman" w:hAnsi="Times New Roman" w:cs="Times New Roman"/>
          <w:b/>
          <w:bCs/>
          <w:sz w:val="28"/>
          <w:szCs w:val="28"/>
          <w:lang w:val="en-US"/>
        </w:rPr>
      </w:pPr>
    </w:p>
    <w:p w14:paraId="10919229">
      <w:pPr>
        <w:rPr>
          <w:rFonts w:hint="default" w:ascii="Times New Roman" w:hAnsi="Times New Roman" w:cs="Times New Roman"/>
          <w:b/>
          <w:bCs/>
          <w:sz w:val="28"/>
          <w:szCs w:val="28"/>
          <w:lang w:val="en-US"/>
        </w:rPr>
      </w:pPr>
    </w:p>
    <w:p w14:paraId="3CC9A304">
      <w:pPr>
        <w:rPr>
          <w:rFonts w:hint="default" w:ascii="Times New Roman" w:hAnsi="Times New Roman" w:cs="Times New Roman"/>
          <w:b/>
          <w:bCs/>
          <w:sz w:val="28"/>
          <w:szCs w:val="28"/>
          <w:lang w:val="en-US"/>
        </w:rPr>
      </w:pPr>
    </w:p>
    <w:p w14:paraId="3C88BA58">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3C392C22">
      <w:pPr>
        <w:rPr>
          <w:rFonts w:hint="default" w:ascii="Times New Roman" w:hAnsi="Times New Roman" w:cs="Times New Roman"/>
          <w:b/>
          <w:bCs/>
          <w:sz w:val="28"/>
          <w:szCs w:val="28"/>
          <w:lang w:val="en-US"/>
        </w:rPr>
      </w:pPr>
    </w:p>
    <w:p w14:paraId="0D43576F">
      <w:pPr>
        <w:ind w:firstLine="720" w:firstLineChars="0"/>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rPr>
        <w:t xml:space="preserve">In conclusion, the </w:t>
      </w:r>
      <w:r>
        <w:rPr>
          <w:rStyle w:val="4"/>
          <w:rFonts w:hint="default" w:ascii="Times New Roman" w:hAnsi="Times New Roman" w:eastAsia="SimSun" w:cs="Times New Roman"/>
          <w:sz w:val="24"/>
          <w:szCs w:val="24"/>
        </w:rPr>
        <w:t>minikube service task2 --url</w:t>
      </w:r>
      <w:r>
        <w:rPr>
          <w:rFonts w:hint="default" w:ascii="Times New Roman" w:hAnsi="Times New Roman" w:eastAsia="SimSun" w:cs="Times New Roman"/>
          <w:sz w:val="24"/>
          <w:szCs w:val="24"/>
        </w:rPr>
        <w:t xml:space="preserve"> command provides the external URL to access the </w:t>
      </w:r>
      <w:r>
        <w:rPr>
          <w:rStyle w:val="4"/>
          <w:rFonts w:hint="default" w:ascii="Times New Roman" w:hAnsi="Times New Roman" w:eastAsia="SimSun" w:cs="Times New Roman"/>
          <w:sz w:val="24"/>
          <w:szCs w:val="24"/>
        </w:rPr>
        <w:t>task2</w:t>
      </w:r>
      <w:r>
        <w:rPr>
          <w:rFonts w:hint="default" w:ascii="Times New Roman" w:hAnsi="Times New Roman" w:eastAsia="SimSun" w:cs="Times New Roman"/>
          <w:sz w:val="24"/>
          <w:szCs w:val="24"/>
        </w:rPr>
        <w:t xml:space="preserve"> service in</w:t>
      </w:r>
      <w:bookmarkStart w:id="0" w:name="_GoBack"/>
      <w:bookmarkEnd w:id="0"/>
      <w:r>
        <w:rPr>
          <w:rFonts w:hint="default" w:ascii="Times New Roman" w:hAnsi="Times New Roman" w:eastAsia="SimSun" w:cs="Times New Roman"/>
          <w:sz w:val="24"/>
          <w:szCs w:val="24"/>
        </w:rPr>
        <w:t xml:space="preserve"> your Minikube cluster. It simplifies the process of finding the service's endpoint by automatically retrieving the URL, making it easier to access the service externally. This functionality is particularly useful when developing and testing Kubernetes applications locally, offering seamless access to deployed services without needing to manually identify the exposed IP and 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D5B70"/>
    <w:rsid w:val="3DFD3B43"/>
    <w:rsid w:val="4A375A3B"/>
    <w:rsid w:val="58BE40BD"/>
    <w:rsid w:val="63FD5B70"/>
    <w:rsid w:val="6BBF2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2025-02-05T10:24:00Z</dcterms:created>
  <dc:creator>DELL</dc:creator>
  <cp:lastModifiedBy>S Lalithambigai</cp:lastModifiedBy>
  <dcterms:modified xsi:type="dcterms:W3CDTF">2025-02-05T10:56:06Z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7AB9F201749C4FB387998371CFBCF4B9_11</vt:lpwstr>
  </property>
</Properties>
</file>