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0C44" w14:textId="3D035636" w:rsidR="008A0011" w:rsidRDefault="008A0011" w:rsidP="008A001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A0011">
        <w:rPr>
          <w:rFonts w:ascii="Times New Roman" w:hAnsi="Times New Roman" w:cs="Times New Roman"/>
          <w:b/>
          <w:bCs/>
          <w:sz w:val="20"/>
          <w:szCs w:val="20"/>
        </w:rPr>
        <w:t>Gemstone Price Prediction</w:t>
      </w:r>
    </w:p>
    <w:p w14:paraId="440F32D4" w14:textId="34702CB3" w:rsidR="00134DA0" w:rsidRPr="00134DA0" w:rsidRDefault="00134DA0" w:rsidP="00134DA0">
      <w:pPr>
        <w:rPr>
          <w:rFonts w:ascii="Times New Roman" w:hAnsi="Times New Roman" w:cs="Times New Roman"/>
          <w:sz w:val="20"/>
          <w:szCs w:val="20"/>
        </w:rPr>
      </w:pPr>
      <w:r w:rsidRPr="00134DA0">
        <w:rPr>
          <w:rFonts w:ascii="Times New Roman" w:hAnsi="Times New Roman" w:cs="Times New Roman"/>
          <w:sz w:val="20"/>
          <w:szCs w:val="20"/>
        </w:rPr>
        <w:t>1 carat = 1.2 gm</w:t>
      </w:r>
    </w:p>
    <w:p w14:paraId="5FA12888" w14:textId="1C8D269D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 xml:space="preserve">color of the gemstone. </w:t>
      </w:r>
      <w:r w:rsidR="00134DA0">
        <w:rPr>
          <w:rFonts w:ascii="Times New Roman" w:hAnsi="Times New Roman" w:cs="Times New Roman"/>
        </w:rPr>
        <w:t>D is highest, J is the lowest.</w:t>
      </w:r>
    </w:p>
    <w:p w14:paraId="0E877448" w14:textId="2D66CD0C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>Clarity: FL is the best I3 is the worst</w:t>
      </w:r>
    </w:p>
    <w:p w14:paraId="6CC95AAF" w14:textId="0DFCF9AF" w:rsidR="00450143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 xml:space="preserve">Depth: Height of the gemstone. Measured from cullet to the table divided by avg griddle </w:t>
      </w:r>
      <w:r w:rsidR="00134DA0" w:rsidRPr="008A0011">
        <w:rPr>
          <w:rFonts w:ascii="Times New Roman" w:hAnsi="Times New Roman" w:cs="Times New Roman"/>
        </w:rPr>
        <w:t>diameter.</w:t>
      </w:r>
    </w:p>
    <w:p w14:paraId="4C1BEAAB" w14:textId="29D148C0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>Table:</w:t>
      </w:r>
    </w:p>
    <w:p w14:paraId="5CE0C6C3" w14:textId="5222019C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ab/>
        <w:t>Width of table of gemstone.</w:t>
      </w:r>
    </w:p>
    <w:p w14:paraId="7DA4A3A5" w14:textId="75E14018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ab/>
        <w:t>Represented as % of avg diameter.</w:t>
      </w:r>
    </w:p>
    <w:p w14:paraId="5D64CF1B" w14:textId="73DE608B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>x,</w:t>
      </w:r>
      <w:r w:rsidR="00134DA0">
        <w:rPr>
          <w:rFonts w:ascii="Times New Roman" w:hAnsi="Times New Roman" w:cs="Times New Roman"/>
        </w:rPr>
        <w:t xml:space="preserve"> </w:t>
      </w:r>
      <w:r w:rsidRPr="008A0011">
        <w:rPr>
          <w:rFonts w:ascii="Times New Roman" w:hAnsi="Times New Roman" w:cs="Times New Roman"/>
        </w:rPr>
        <w:t>y,</w:t>
      </w:r>
      <w:r w:rsidR="00134DA0">
        <w:rPr>
          <w:rFonts w:ascii="Times New Roman" w:hAnsi="Times New Roman" w:cs="Times New Roman"/>
        </w:rPr>
        <w:t xml:space="preserve"> </w:t>
      </w:r>
      <w:r w:rsidRPr="008A0011">
        <w:rPr>
          <w:rFonts w:ascii="Times New Roman" w:hAnsi="Times New Roman" w:cs="Times New Roman"/>
        </w:rPr>
        <w:t>z:</w:t>
      </w:r>
    </w:p>
    <w:p w14:paraId="20161877" w14:textId="158BADB5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ab/>
        <w:t>x – length of cubic zirconia in mm</w:t>
      </w:r>
    </w:p>
    <w:p w14:paraId="6BEE20D6" w14:textId="6BDB6FC5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ab/>
        <w:t>y – width</w:t>
      </w:r>
    </w:p>
    <w:p w14:paraId="353B70AB" w14:textId="5D9E1353" w:rsidR="008A0011" w:rsidRP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ab/>
        <w:t xml:space="preserve">z – height </w:t>
      </w:r>
    </w:p>
    <w:p w14:paraId="14584347" w14:textId="71FDA22F" w:rsidR="008A0011" w:rsidRDefault="008A0011">
      <w:pPr>
        <w:rPr>
          <w:rFonts w:ascii="Times New Roman" w:hAnsi="Times New Roman" w:cs="Times New Roman"/>
        </w:rPr>
      </w:pPr>
      <w:r w:rsidRPr="008A0011">
        <w:rPr>
          <w:rFonts w:ascii="Times New Roman" w:hAnsi="Times New Roman" w:cs="Times New Roman"/>
        </w:rPr>
        <w:t>price:</w:t>
      </w:r>
    </w:p>
    <w:p w14:paraId="2A43D7DE" w14:textId="07BD1D9E" w:rsidR="008A0011" w:rsidRDefault="008A0011">
      <w:pPr>
        <w:rPr>
          <w:rFonts w:ascii="Times New Roman" w:hAnsi="Times New Roman" w:cs="Times New Roman"/>
        </w:rPr>
      </w:pPr>
    </w:p>
    <w:p w14:paraId="7D25F230" w14:textId="69785850" w:rsidR="008A0011" w:rsidRDefault="008A0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cut,</w:t>
      </w:r>
      <w:r w:rsidR="00134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color,</w:t>
      </w:r>
      <w:r w:rsidR="00134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clarity – </w:t>
      </w:r>
      <w:r w:rsidR="00134DA0">
        <w:rPr>
          <w:rFonts w:ascii="Times New Roman" w:hAnsi="Times New Roman" w:cs="Times New Roman"/>
        </w:rPr>
        <w:t>categorical.</w:t>
      </w:r>
      <w:r>
        <w:rPr>
          <w:rFonts w:ascii="Times New Roman" w:hAnsi="Times New Roman" w:cs="Times New Roman"/>
        </w:rPr>
        <w:t xml:space="preserve"> </w:t>
      </w:r>
    </w:p>
    <w:p w14:paraId="003FFB80" w14:textId="2180707F" w:rsidR="008A0011" w:rsidRDefault="008A0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remaining – continuous</w:t>
      </w:r>
    </w:p>
    <w:p w14:paraId="57686D8F" w14:textId="5C3FF458" w:rsidR="00820E92" w:rsidRDefault="00820E92">
      <w:pPr>
        <w:rPr>
          <w:rFonts w:ascii="Times New Roman" w:hAnsi="Times New Roman" w:cs="Times New Roman"/>
        </w:rPr>
      </w:pPr>
    </w:p>
    <w:p w14:paraId="4B5B3CAE" w14:textId="77777777" w:rsidR="00CD6786" w:rsidRDefault="00CD6786">
      <w:pPr>
        <w:rPr>
          <w:rFonts w:ascii="Times New Roman" w:hAnsi="Times New Roman" w:cs="Times New Roman"/>
        </w:rPr>
      </w:pPr>
    </w:p>
    <w:p w14:paraId="07CAEADB" w14:textId="78729B08" w:rsidR="00CD6786" w:rsidRPr="00CD6786" w:rsidRDefault="00CD6786">
      <w:pPr>
        <w:rPr>
          <w:rFonts w:ascii="Times New Roman" w:hAnsi="Times New Roman" w:cs="Times New Roman"/>
          <w:b/>
          <w:bCs/>
        </w:rPr>
      </w:pPr>
      <w:r w:rsidRPr="00CD6786">
        <w:rPr>
          <w:rFonts w:ascii="Times New Roman" w:hAnsi="Times New Roman" w:cs="Times New Roman"/>
          <w:b/>
          <w:bCs/>
        </w:rPr>
        <w:t>bivariate analysis</w:t>
      </w:r>
    </w:p>
    <w:p w14:paraId="1B6E0D9B" w14:textId="5FB26E67" w:rsidR="00CD6786" w:rsidRDefault="00CD6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 plot – between numerical features </w:t>
      </w:r>
    </w:p>
    <w:p w14:paraId="023DBEC6" w14:textId="170AFBE4" w:rsidR="008A0011" w:rsidRDefault="00CD6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bivariate – scatterplot, </w:t>
      </w:r>
      <w:proofErr w:type="spellStart"/>
      <w:r>
        <w:rPr>
          <w:rFonts w:ascii="Times New Roman" w:hAnsi="Times New Roman" w:cs="Times New Roman"/>
        </w:rPr>
        <w:t>lineplot</w:t>
      </w:r>
      <w:proofErr w:type="spellEnd"/>
      <w:r>
        <w:rPr>
          <w:rFonts w:ascii="Times New Roman" w:hAnsi="Times New Roman" w:cs="Times New Roman"/>
        </w:rPr>
        <w:t xml:space="preserve"> for continuous variables</w:t>
      </w:r>
    </w:p>
    <w:p w14:paraId="4D47E6F9" w14:textId="77777777" w:rsidR="00CD6786" w:rsidRPr="008A0011" w:rsidRDefault="00CD6786">
      <w:pPr>
        <w:rPr>
          <w:rFonts w:ascii="Times New Roman" w:hAnsi="Times New Roman" w:cs="Times New Roman"/>
        </w:rPr>
      </w:pPr>
    </w:p>
    <w:sectPr w:rsidR="00CD6786" w:rsidRPr="008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11"/>
    <w:rsid w:val="001200E3"/>
    <w:rsid w:val="00134DA0"/>
    <w:rsid w:val="00393800"/>
    <w:rsid w:val="00450143"/>
    <w:rsid w:val="006D5D9A"/>
    <w:rsid w:val="00820E92"/>
    <w:rsid w:val="008A0011"/>
    <w:rsid w:val="00CD6786"/>
    <w:rsid w:val="00DD7850"/>
    <w:rsid w:val="00F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CF36"/>
  <w15:chartTrackingRefBased/>
  <w15:docId w15:val="{446F4248-067F-481D-B29B-220E9F5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Lalithsai Padakula</dc:creator>
  <cp:keywords/>
  <dc:description/>
  <cp:lastModifiedBy>Lalithsai Padakula</cp:lastModifiedBy>
  <cp:revision>2</cp:revision>
  <dcterms:created xsi:type="dcterms:W3CDTF">2023-03-05T12:21:00Z</dcterms:created>
  <dcterms:modified xsi:type="dcterms:W3CDTF">2023-03-05T20:03:00Z</dcterms:modified>
</cp:coreProperties>
</file>