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1BC6E45" w14:textId="02C60171" w:rsidR="009303D9" w:rsidRPr="008B6524" w:rsidRDefault="00113CD2" w:rsidP="008B6524">
      <w:pPr>
        <w:pStyle w:val="papertitle"/>
        <w:spacing w:before="5pt" w:beforeAutospacing="1" w:after="5pt" w:afterAutospacing="1"/>
        <w:rPr>
          <w:kern w:val="48"/>
        </w:rPr>
      </w:pPr>
      <w:r w:rsidRPr="00113CD2">
        <w:rPr>
          <w:kern w:val="48"/>
        </w:rPr>
        <w:t>CareLink: An AI-Driven Integrated Healthcare-HR Platform for Coordinated Management of Learning Disorders and Workplace Support</w:t>
      </w:r>
    </w:p>
    <w:p w14:paraId="1F960E65" w14:textId="5959258E" w:rsidR="00D7522C" w:rsidRPr="00CA4392" w:rsidRDefault="00D7522C" w:rsidP="00391997">
      <w:pPr>
        <w:pStyle w:val="Author"/>
        <w:spacing w:before="5pt" w:beforeAutospacing="1" w:after="5pt" w:afterAutospacing="1"/>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1DB7D610" w:rsidR="009F1D79" w:rsidRDefault="009F1D79" w:rsidP="00B2582A">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108C27F2" w:rsidR="009303D9" w:rsidRPr="00D632BE" w:rsidRDefault="009303D9" w:rsidP="006B6B66">
      <w:pPr>
        <w:pStyle w:val="Heading1"/>
      </w:pPr>
      <w:r w:rsidRPr="00D632BE">
        <w:t>Introduction</w:t>
      </w:r>
    </w:p>
    <w:p w14:paraId="5B84FB04" w14:textId="4E802107" w:rsidR="009303D9" w:rsidRDefault="00954829" w:rsidP="00E7596C">
      <w:pPr>
        <w:pStyle w:val="BodyText"/>
        <w:rPr>
          <w:color w:val="18181B"/>
          <w:shd w:val="clear" w:color="auto" w:fill="FFFFFF"/>
          <w:lang w:val="en-US"/>
        </w:rPr>
      </w:pPr>
      <w:r w:rsidRPr="00E01438">
        <w:rPr>
          <w:color w:val="18181B"/>
          <w:shd w:val="clear" w:color="auto" w:fill="FFFFFF"/>
        </w:rPr>
        <w:t>Learning disorders such as dyslexia and dyscalculia are common neurodevelopmental conditions that can significantly affect reading, numeracy, and higher-order work performance across the lifespan</w:t>
      </w:r>
      <w:sdt>
        <w:sdtPr>
          <w:rPr>
            <w:color w:val="18181B"/>
            <w:shd w:val="clear" w:color="auto" w:fill="FFFFFF"/>
          </w:rPr>
          <w:id w:val="208011483"/>
          <w:citation/>
        </w:sdtPr>
        <w:sdtEndPr/>
        <w:sdtContent>
          <w:r w:rsidR="00F91F9C">
            <w:rPr>
              <w:color w:val="18181B"/>
              <w:shd w:val="clear" w:color="auto" w:fill="FFFFFF"/>
            </w:rPr>
            <w:fldChar w:fldCharType="begin"/>
          </w:r>
          <w:r w:rsidR="00F91F9C">
            <w:rPr>
              <w:color w:val="18181B"/>
              <w:shd w:val="clear" w:color="auto" w:fill="FFFFFF"/>
              <w:lang w:val="en-US"/>
            </w:rPr>
            <w:instrText xml:space="preserve"> CITATION Kha \l</w:instrText>
          </w:r>
          <w:r w:rsidR="00851ED8">
            <w:rPr>
              <w:color w:val="18181B"/>
              <w:shd w:val="clear" w:color="auto" w:fill="FFFFFF"/>
              <w:lang w:val="en-US"/>
            </w:rPr>
            <w:instrText xml:space="preserve"> en-US </w:instrText>
          </w:r>
          <w:r w:rsidR="00F91F9C">
            <w:rPr>
              <w:color w:val="18181B"/>
              <w:shd w:val="clear" w:color="auto" w:fill="FFFFFF"/>
            </w:rPr>
            <w:fldChar w:fldCharType="separate"/>
          </w:r>
          <w:r w:rsidR="00F91F9C">
            <w:rPr>
              <w:noProof/>
              <w:color w:val="18181B"/>
              <w:shd w:val="clear" w:color="auto" w:fill="FFFFFF"/>
              <w:lang w:val="en-US"/>
            </w:rPr>
            <w:t xml:space="preserve"> </w:t>
          </w:r>
          <w:r w:rsidR="00F91F9C" w:rsidRPr="00F91F9C">
            <w:rPr>
              <w:noProof/>
              <w:color w:val="18181B"/>
              <w:shd w:val="clear" w:color="auto" w:fill="FFFFFF"/>
              <w:lang w:val="en-US"/>
            </w:rPr>
            <w:t>[1]</w:t>
          </w:r>
          <w:r w:rsidR="00F91F9C">
            <w:rPr>
              <w:color w:val="18181B"/>
              <w:shd w:val="clear" w:color="auto" w:fill="FFFFFF"/>
            </w:rPr>
            <w:fldChar w:fldCharType="end"/>
          </w:r>
        </w:sdtContent>
      </w:sdt>
      <w:r w:rsidRPr="00E01438">
        <w:rPr>
          <w:color w:val="18181B"/>
          <w:shd w:val="clear" w:color="auto" w:fill="FFFFFF"/>
        </w:rPr>
        <w:t>. In adulthood, these conditions often translate into reduced productivity, increased stress, and a heightened risk of workplace exclusion if appropriate accommodations and support are not provided</w:t>
      </w:r>
      <w:sdt>
        <w:sdtPr>
          <w:rPr>
            <w:color w:val="18181B"/>
            <w:shd w:val="clear" w:color="auto" w:fill="FFFFFF"/>
          </w:rPr>
          <w:id w:val="920071439"/>
          <w:citation/>
        </w:sdtPr>
        <w:sdtEndPr/>
        <w:sdtContent>
          <w:r w:rsidR="00F91F9C">
            <w:rPr>
              <w:color w:val="18181B"/>
              <w:shd w:val="clear" w:color="auto" w:fill="FFFFFF"/>
            </w:rPr>
            <w:fldChar w:fldCharType="begin"/>
          </w:r>
          <w:r w:rsidR="00F91F9C">
            <w:rPr>
              <w:color w:val="18181B"/>
              <w:shd w:val="clear" w:color="auto" w:fill="FFFFFF"/>
              <w:lang w:val="en-US"/>
            </w:rPr>
            <w:instrText xml:space="preserve"> CITATION Fie \l</w:instrText>
          </w:r>
          <w:r w:rsidR="00851ED8">
            <w:rPr>
              <w:color w:val="18181B"/>
              <w:shd w:val="clear" w:color="auto" w:fill="FFFFFF"/>
              <w:lang w:val="en-US"/>
            </w:rPr>
            <w:instrText xml:space="preserve"> en-US </w:instrText>
          </w:r>
          <w:r w:rsidR="00F91F9C">
            <w:rPr>
              <w:color w:val="18181B"/>
              <w:shd w:val="clear" w:color="auto" w:fill="FFFFFF"/>
            </w:rPr>
            <w:fldChar w:fldCharType="separate"/>
          </w:r>
          <w:r w:rsidR="00F91F9C">
            <w:rPr>
              <w:noProof/>
              <w:color w:val="18181B"/>
              <w:shd w:val="clear" w:color="auto" w:fill="FFFFFF"/>
              <w:lang w:val="en-US"/>
            </w:rPr>
            <w:t xml:space="preserve"> </w:t>
          </w:r>
          <w:r w:rsidR="00F91F9C" w:rsidRPr="00F91F9C">
            <w:rPr>
              <w:noProof/>
              <w:color w:val="18181B"/>
              <w:shd w:val="clear" w:color="auto" w:fill="FFFFFF"/>
              <w:lang w:val="en-US"/>
            </w:rPr>
            <w:t>[2]</w:t>
          </w:r>
          <w:r w:rsidR="00F91F9C">
            <w:rPr>
              <w:color w:val="18181B"/>
              <w:shd w:val="clear" w:color="auto" w:fill="FFFFFF"/>
            </w:rPr>
            <w:fldChar w:fldCharType="end"/>
          </w:r>
        </w:sdtContent>
      </w:sdt>
      <w:sdt>
        <w:sdtPr>
          <w:rPr>
            <w:color w:val="18181B"/>
            <w:shd w:val="clear" w:color="auto" w:fill="FFFFFF"/>
          </w:rPr>
          <w:id w:val="-214737226"/>
          <w:citation/>
        </w:sdtPr>
        <w:sdtEndPr/>
        <w:sdtContent>
          <w:r w:rsidR="000E5E58">
            <w:rPr>
              <w:color w:val="18181B"/>
              <w:shd w:val="clear" w:color="auto" w:fill="FFFFFF"/>
            </w:rPr>
            <w:fldChar w:fldCharType="begin"/>
          </w:r>
          <w:r w:rsidR="000E5E58">
            <w:rPr>
              <w:color w:val="18181B"/>
              <w:shd w:val="clear" w:color="auto" w:fill="FFFFFF"/>
              <w:lang w:val="en-US"/>
            </w:rPr>
            <w:instrText xml:space="preserve"> CITATION Sha242 \l</w:instrText>
          </w:r>
          <w:r w:rsidR="00851ED8">
            <w:rPr>
              <w:color w:val="18181B"/>
              <w:shd w:val="clear" w:color="auto" w:fill="FFFFFF"/>
              <w:lang w:val="en-US"/>
            </w:rPr>
            <w:instrText xml:space="preserve"> en-US </w:instrText>
          </w:r>
          <w:r w:rsidR="000E5E58">
            <w:rPr>
              <w:color w:val="18181B"/>
              <w:shd w:val="clear" w:color="auto" w:fill="FFFFFF"/>
            </w:rPr>
            <w:fldChar w:fldCharType="separate"/>
          </w:r>
          <w:r w:rsidR="000E5E58">
            <w:rPr>
              <w:noProof/>
              <w:color w:val="18181B"/>
              <w:shd w:val="clear" w:color="auto" w:fill="FFFFFF"/>
              <w:lang w:val="en-US"/>
            </w:rPr>
            <w:t xml:space="preserve"> </w:t>
          </w:r>
          <w:r w:rsidR="000E5E58" w:rsidRPr="000E5E58">
            <w:rPr>
              <w:noProof/>
              <w:color w:val="18181B"/>
              <w:shd w:val="clear" w:color="auto" w:fill="FFFFFF"/>
              <w:lang w:val="en-US"/>
            </w:rPr>
            <w:t>[3]</w:t>
          </w:r>
          <w:r w:rsidR="000E5E58">
            <w:rPr>
              <w:color w:val="18181B"/>
              <w:shd w:val="clear" w:color="auto" w:fill="FFFFFF"/>
            </w:rPr>
            <w:fldChar w:fldCharType="end"/>
          </w:r>
        </w:sdtContent>
      </w:sdt>
      <w:r w:rsidRPr="00E01438">
        <w:rPr>
          <w:color w:val="18181B"/>
          <w:shd w:val="clear" w:color="auto" w:fill="FFFFFF"/>
        </w:rPr>
        <w:t>. While AI-enabled tools, digital platforms, and smart healthcare infrastructures are increasingly used to optimize diagnosis, monitoring, and occupational health, their potential for coordinated management of learning disorders across healthcare and HR has not yet been fully realized</w:t>
      </w:r>
      <w:sdt>
        <w:sdtPr>
          <w:rPr>
            <w:color w:val="18181B"/>
            <w:shd w:val="clear" w:color="auto" w:fill="FFFFFF"/>
          </w:rPr>
          <w:id w:val="-2113667750"/>
          <w:citation/>
        </w:sdtPr>
        <w:sdtEndPr/>
        <w:sdtContent>
          <w:r w:rsidR="001D6B7C">
            <w:rPr>
              <w:color w:val="18181B"/>
              <w:shd w:val="clear" w:color="auto" w:fill="FFFFFF"/>
            </w:rPr>
            <w:fldChar w:fldCharType="begin"/>
          </w:r>
          <w:r w:rsidR="001D6B7C">
            <w:rPr>
              <w:color w:val="18181B"/>
              <w:shd w:val="clear" w:color="auto" w:fill="FFFFFF"/>
              <w:lang w:val="en-US"/>
            </w:rPr>
            <w:instrText xml:space="preserve"> CITATION Ali22 \l</w:instrText>
          </w:r>
          <w:r w:rsidR="00851ED8">
            <w:rPr>
              <w:color w:val="18181B"/>
              <w:shd w:val="clear" w:color="auto" w:fill="FFFFFF"/>
              <w:lang w:val="en-US"/>
            </w:rPr>
            <w:instrText xml:space="preserve"> en-US </w:instrText>
          </w:r>
          <w:r w:rsidR="001D6B7C">
            <w:rPr>
              <w:color w:val="18181B"/>
              <w:shd w:val="clear" w:color="auto" w:fill="FFFFFF"/>
            </w:rPr>
            <w:fldChar w:fldCharType="separate"/>
          </w:r>
          <w:r w:rsidR="001D6B7C">
            <w:rPr>
              <w:noProof/>
              <w:color w:val="18181B"/>
              <w:shd w:val="clear" w:color="auto" w:fill="FFFFFF"/>
              <w:lang w:val="en-US"/>
            </w:rPr>
            <w:t xml:space="preserve"> </w:t>
          </w:r>
          <w:r w:rsidR="001D6B7C" w:rsidRPr="001D6B7C">
            <w:rPr>
              <w:noProof/>
              <w:color w:val="18181B"/>
              <w:shd w:val="clear" w:color="auto" w:fill="FFFFFF"/>
              <w:lang w:val="en-US"/>
            </w:rPr>
            <w:t>[4]</w:t>
          </w:r>
          <w:r w:rsidR="001D6B7C">
            <w:rPr>
              <w:color w:val="18181B"/>
              <w:shd w:val="clear" w:color="auto" w:fill="FFFFFF"/>
            </w:rPr>
            <w:fldChar w:fldCharType="end"/>
          </w:r>
        </w:sdtContent>
      </w:sdt>
      <w:sdt>
        <w:sdtPr>
          <w:rPr>
            <w:color w:val="18181B"/>
            <w:shd w:val="clear" w:color="auto" w:fill="FFFFFF"/>
          </w:rPr>
          <w:id w:val="-555242599"/>
          <w:citation/>
        </w:sdtPr>
        <w:sdtEndPr/>
        <w:sdtContent>
          <w:r w:rsidR="004E1BA6">
            <w:rPr>
              <w:color w:val="18181B"/>
              <w:shd w:val="clear" w:color="auto" w:fill="FFFFFF"/>
            </w:rPr>
            <w:fldChar w:fldCharType="begin"/>
          </w:r>
          <w:r w:rsidR="004E1BA6">
            <w:rPr>
              <w:color w:val="18181B"/>
              <w:shd w:val="clear" w:color="auto" w:fill="FFFFFF"/>
              <w:lang w:val="en-US"/>
            </w:rPr>
            <w:instrText xml:space="preserve"> CITATION Ian25 \l</w:instrText>
          </w:r>
          <w:r w:rsidR="00851ED8">
            <w:rPr>
              <w:color w:val="18181B"/>
              <w:shd w:val="clear" w:color="auto" w:fill="FFFFFF"/>
              <w:lang w:val="en-US"/>
            </w:rPr>
            <w:instrText xml:space="preserve"> en-US </w:instrText>
          </w:r>
          <w:r w:rsidR="004E1BA6">
            <w:rPr>
              <w:color w:val="18181B"/>
              <w:shd w:val="clear" w:color="auto" w:fill="FFFFFF"/>
            </w:rPr>
            <w:fldChar w:fldCharType="separate"/>
          </w:r>
          <w:r w:rsidR="004E1BA6">
            <w:rPr>
              <w:noProof/>
              <w:color w:val="18181B"/>
              <w:shd w:val="clear" w:color="auto" w:fill="FFFFFF"/>
              <w:lang w:val="en-US"/>
            </w:rPr>
            <w:t xml:space="preserve"> </w:t>
          </w:r>
          <w:r w:rsidR="004E1BA6" w:rsidRPr="004E1BA6">
            <w:rPr>
              <w:noProof/>
              <w:color w:val="18181B"/>
              <w:shd w:val="clear" w:color="auto" w:fill="FFFFFF"/>
              <w:lang w:val="en-US"/>
            </w:rPr>
            <w:t>[5]</w:t>
          </w:r>
          <w:r w:rsidR="004E1BA6">
            <w:rPr>
              <w:color w:val="18181B"/>
              <w:shd w:val="clear" w:color="auto" w:fill="FFFFFF"/>
            </w:rPr>
            <w:fldChar w:fldCharType="end"/>
          </w:r>
        </w:sdtContent>
      </w:sdt>
      <w:r w:rsidR="001D6B7C">
        <w:rPr>
          <w:color w:val="18181B"/>
          <w:shd w:val="clear" w:color="auto" w:fill="FFFFFF"/>
          <w:lang w:val="en-US"/>
        </w:rPr>
        <w:t>.</w:t>
      </w:r>
    </w:p>
    <w:p w14:paraId="1A8727F6" w14:textId="6D75DF3F" w:rsidR="00391997" w:rsidRPr="00BA25DD" w:rsidRDefault="00391997" w:rsidP="00BA25DD">
      <w:pPr>
        <w:pStyle w:val="Heading2"/>
      </w:pPr>
      <w:r>
        <w:t>Background and Problem Domain</w:t>
      </w:r>
    </w:p>
    <w:p w14:paraId="0DECCE55" w14:textId="7802C820" w:rsidR="00391997" w:rsidRDefault="00391997" w:rsidP="00E7596C">
      <w:pPr>
        <w:pStyle w:val="BodyText"/>
        <w:rPr>
          <w:lang w:val="en-US"/>
        </w:rPr>
      </w:pPr>
      <w:r w:rsidRPr="00391997">
        <w:rPr>
          <w:lang w:val="en-US"/>
        </w:rPr>
        <w:t xml:space="preserve">Contemporary healthcare systems increasingly rely on electronic health records and AI-based decision support, yet data remain fragmented across institutions, and strict privacy, security, and regulatory requirements limit seamless sharing of sensitive health information </w:t>
      </w:r>
      <w:sdt>
        <w:sdtPr>
          <w:rPr>
            <w:lang w:val="en-US"/>
          </w:rPr>
          <w:id w:val="-354340154"/>
          <w:citation/>
        </w:sdtPr>
        <w:sdtEndPr/>
        <w:sdtContent>
          <w:r w:rsidR="007F1137">
            <w:rPr>
              <w:lang w:val="en-US"/>
            </w:rPr>
            <w:fldChar w:fldCharType="begin"/>
          </w:r>
          <w:r w:rsidR="007F1137">
            <w:rPr>
              <w:lang w:val="en-US"/>
            </w:rPr>
            <w:instrText xml:space="preserve"> CITATION Kha \l</w:instrText>
          </w:r>
          <w:r w:rsidR="00851ED8">
            <w:rPr>
              <w:lang w:val="en-US"/>
            </w:rPr>
            <w:instrText xml:space="preserve"> en-US </w:instrText>
          </w:r>
          <w:r w:rsidR="007F1137">
            <w:rPr>
              <w:lang w:val="en-US"/>
            </w:rPr>
            <w:fldChar w:fldCharType="separate"/>
          </w:r>
          <w:r w:rsidR="007F1137" w:rsidRPr="007F1137">
            <w:rPr>
              <w:noProof/>
              <w:lang w:val="en-US"/>
            </w:rPr>
            <w:t>[1]</w:t>
          </w:r>
          <w:r w:rsidR="007F1137">
            <w:rPr>
              <w:lang w:val="en-US"/>
            </w:rPr>
            <w:fldChar w:fldCharType="end"/>
          </w:r>
        </w:sdtContent>
      </w:sdt>
      <w:sdt>
        <w:sdtPr>
          <w:rPr>
            <w:lang w:val="en-US"/>
          </w:rPr>
          <w:id w:val="1645998275"/>
          <w:citation/>
        </w:sdtPr>
        <w:sdtEndPr/>
        <w:sdtContent>
          <w:r w:rsidR="007F1137">
            <w:rPr>
              <w:lang w:val="en-US"/>
            </w:rPr>
            <w:fldChar w:fldCharType="begin"/>
          </w:r>
          <w:r w:rsidR="007F1137">
            <w:rPr>
              <w:lang w:val="en-US"/>
            </w:rPr>
            <w:instrText xml:space="preserve"> CITATION Ali22 \l</w:instrText>
          </w:r>
          <w:r w:rsidR="00851ED8">
            <w:rPr>
              <w:lang w:val="en-US"/>
            </w:rPr>
            <w:instrText xml:space="preserve"> en-US </w:instrText>
          </w:r>
          <w:r w:rsidR="007F1137">
            <w:rPr>
              <w:lang w:val="en-US"/>
            </w:rPr>
            <w:fldChar w:fldCharType="separate"/>
          </w:r>
          <w:r w:rsidR="007F1137">
            <w:rPr>
              <w:noProof/>
              <w:lang w:val="en-US"/>
            </w:rPr>
            <w:t xml:space="preserve"> </w:t>
          </w:r>
          <w:r w:rsidR="007F1137" w:rsidRPr="007F1137">
            <w:rPr>
              <w:noProof/>
              <w:lang w:val="en-US"/>
            </w:rPr>
            <w:t>[4]</w:t>
          </w:r>
          <w:r w:rsidR="007F1137">
            <w:rPr>
              <w:lang w:val="en-US"/>
            </w:rPr>
            <w:fldChar w:fldCharType="end"/>
          </w:r>
        </w:sdtContent>
      </w:sdt>
      <w:sdt>
        <w:sdtPr>
          <w:rPr>
            <w:lang w:val="en-US"/>
          </w:rPr>
          <w:id w:val="-2082976355"/>
          <w:citation/>
        </w:sdtPr>
        <w:sdtEndPr/>
        <w:sdtContent>
          <w:r w:rsidR="007F1137">
            <w:rPr>
              <w:lang w:val="en-US"/>
            </w:rPr>
            <w:fldChar w:fldCharType="begin"/>
          </w:r>
          <w:r w:rsidR="007F1137">
            <w:rPr>
              <w:lang w:val="en-US"/>
            </w:rPr>
            <w:instrText xml:space="preserve"> CITATION GuX23 \l</w:instrText>
          </w:r>
          <w:r w:rsidR="00851ED8">
            <w:rPr>
              <w:lang w:val="en-US"/>
            </w:rPr>
            <w:instrText xml:space="preserve"> en-US </w:instrText>
          </w:r>
          <w:r w:rsidR="007F1137">
            <w:rPr>
              <w:lang w:val="en-US"/>
            </w:rPr>
            <w:fldChar w:fldCharType="separate"/>
          </w:r>
          <w:r w:rsidR="007F1137">
            <w:rPr>
              <w:noProof/>
              <w:lang w:val="en-US"/>
            </w:rPr>
            <w:t xml:space="preserve"> </w:t>
          </w:r>
          <w:r w:rsidR="007F1137" w:rsidRPr="007F1137">
            <w:rPr>
              <w:noProof/>
              <w:lang w:val="en-US"/>
            </w:rPr>
            <w:t>[6]</w:t>
          </w:r>
          <w:r w:rsidR="007F1137">
            <w:rPr>
              <w:lang w:val="en-US"/>
            </w:rPr>
            <w:fldChar w:fldCharType="end"/>
          </w:r>
        </w:sdtContent>
      </w:sdt>
      <w:r w:rsidRPr="00391997">
        <w:rPr>
          <w:lang w:val="en-US"/>
        </w:rPr>
        <w:t xml:space="preserve">. At the same time, HR systems in healthcare and other sectors are beginning to deploy AI-driven analytics for scheduling, burnout detection, and equitable workforce management, raising their own ethical, privacy, and transparency challenges </w:t>
      </w:r>
      <w:sdt>
        <w:sdtPr>
          <w:rPr>
            <w:lang w:val="en-US"/>
          </w:rPr>
          <w:id w:val="731504233"/>
          <w:citation/>
        </w:sdtPr>
        <w:sdtEndPr/>
        <w:sdtContent>
          <w:r w:rsidR="00E531D3">
            <w:rPr>
              <w:lang w:val="en-US"/>
            </w:rPr>
            <w:fldChar w:fldCharType="begin"/>
          </w:r>
          <w:r w:rsidR="00E531D3">
            <w:rPr>
              <w:lang w:val="en-US"/>
            </w:rPr>
            <w:instrText xml:space="preserve"> CITATION Fie \l</w:instrText>
          </w:r>
          <w:r w:rsidR="00851ED8">
            <w:rPr>
              <w:lang w:val="en-US"/>
            </w:rPr>
            <w:instrText xml:space="preserve"> en-US </w:instrText>
          </w:r>
          <w:r w:rsidR="00E531D3">
            <w:rPr>
              <w:lang w:val="en-US"/>
            </w:rPr>
            <w:fldChar w:fldCharType="separate"/>
          </w:r>
          <w:r w:rsidR="00E531D3" w:rsidRPr="00E531D3">
            <w:rPr>
              <w:noProof/>
              <w:lang w:val="en-US"/>
            </w:rPr>
            <w:t>[2]</w:t>
          </w:r>
          <w:r w:rsidR="00E531D3">
            <w:rPr>
              <w:lang w:val="en-US"/>
            </w:rPr>
            <w:fldChar w:fldCharType="end"/>
          </w:r>
        </w:sdtContent>
      </w:sdt>
      <w:sdt>
        <w:sdtPr>
          <w:rPr>
            <w:lang w:val="en-US"/>
          </w:rPr>
          <w:id w:val="-53471948"/>
          <w:citation/>
        </w:sdtPr>
        <w:sdtEndPr/>
        <w:sdtContent>
          <w:r w:rsidR="00E531D3">
            <w:rPr>
              <w:lang w:val="en-US"/>
            </w:rPr>
            <w:fldChar w:fldCharType="begin"/>
          </w:r>
          <w:r w:rsidR="00E531D3">
            <w:rPr>
              <w:lang w:val="en-US"/>
            </w:rPr>
            <w:instrText xml:space="preserve"> CITATION Sha242 \l</w:instrText>
          </w:r>
          <w:r w:rsidR="00851ED8">
            <w:rPr>
              <w:lang w:val="en-US"/>
            </w:rPr>
            <w:instrText xml:space="preserve"> en-US </w:instrText>
          </w:r>
          <w:r w:rsidR="00E531D3">
            <w:rPr>
              <w:lang w:val="en-US"/>
            </w:rPr>
            <w:fldChar w:fldCharType="separate"/>
          </w:r>
          <w:r w:rsidR="00E531D3">
            <w:rPr>
              <w:noProof/>
              <w:lang w:val="en-US"/>
            </w:rPr>
            <w:t xml:space="preserve"> </w:t>
          </w:r>
          <w:r w:rsidR="00E531D3" w:rsidRPr="00E531D3">
            <w:rPr>
              <w:noProof/>
              <w:lang w:val="en-US"/>
            </w:rPr>
            <w:t>[3]</w:t>
          </w:r>
          <w:r w:rsidR="00E531D3">
            <w:rPr>
              <w:lang w:val="en-US"/>
            </w:rPr>
            <w:fldChar w:fldCharType="end"/>
          </w:r>
        </w:sdtContent>
      </w:sdt>
      <w:r w:rsidRPr="00391997">
        <w:rPr>
          <w:lang w:val="en-US"/>
        </w:rPr>
        <w:t>. These two ecosystems—clinical care and HR—typically operate as separate silos, with little real-time integration of diagnostic findings, functional assessments, and workplace accommodations. As a result, employees with learning disorders often face long delays between assessment and the implementation of tailored support, inconsistent communication, and limited feedback loops to refine interventions over time.</w:t>
      </w:r>
    </w:p>
    <w:p w14:paraId="2C76793A" w14:textId="2F15B8F9" w:rsidR="00E531D3" w:rsidRDefault="004C60FF" w:rsidP="00E7596C">
      <w:pPr>
        <w:pStyle w:val="BodyText"/>
        <w:rPr>
          <w:lang w:val="en-US"/>
        </w:rPr>
      </w:pPr>
      <w:r w:rsidRPr="004C60FF">
        <w:rPr>
          <w:lang w:val="en-US"/>
        </w:rPr>
        <w:t xml:space="preserve">Research on smart and federated healthcare emphasizes that integrated, AI-enabled platforms can enable continuous monitoring, predictive analytics, and collaborative decision-making while preserving privacy and regulatory compliance </w:t>
      </w:r>
      <w:sdt>
        <w:sdtPr>
          <w:rPr>
            <w:lang w:val="en-US"/>
          </w:rPr>
          <w:id w:val="1464386823"/>
          <w:citation/>
        </w:sdtPr>
        <w:sdtEndPr/>
        <w:sdtContent>
          <w:r>
            <w:rPr>
              <w:lang w:val="en-US"/>
            </w:rPr>
            <w:fldChar w:fldCharType="begin"/>
          </w:r>
          <w:r>
            <w:rPr>
              <w:lang w:val="en-US"/>
            </w:rPr>
            <w:instrText xml:space="preserve"> CITATION Abb24 \l</w:instrText>
          </w:r>
          <w:r w:rsidR="00851ED8">
            <w:rPr>
              <w:lang w:val="en-US"/>
            </w:rPr>
            <w:instrText xml:space="preserve"> en-US </w:instrText>
          </w:r>
          <w:r>
            <w:rPr>
              <w:lang w:val="en-US"/>
            </w:rPr>
            <w:fldChar w:fldCharType="separate"/>
          </w:r>
          <w:r w:rsidRPr="004C60FF">
            <w:rPr>
              <w:noProof/>
              <w:lang w:val="en-US"/>
            </w:rPr>
            <w:t>[7]</w:t>
          </w:r>
          <w:r>
            <w:rPr>
              <w:lang w:val="en-US"/>
            </w:rPr>
            <w:fldChar w:fldCharType="end"/>
          </w:r>
        </w:sdtContent>
      </w:sdt>
      <w:r w:rsidRPr="004C60FF">
        <w:rPr>
          <w:lang w:val="en-US"/>
        </w:rPr>
        <w:t xml:space="preserve">. Similarly, studies on workplace AI and occupational health highlight the value of human–AI collaboration, real-time monitoring, and ethical frameworks to improve safety, equity, and well-being </w:t>
      </w:r>
      <w:sdt>
        <w:sdtPr>
          <w:rPr>
            <w:lang w:val="en-US"/>
          </w:rPr>
          <w:id w:val="1957979997"/>
          <w:citation/>
        </w:sdtPr>
        <w:sdtEndPr/>
        <w:sdtContent>
          <w:r w:rsidR="007243F5">
            <w:rPr>
              <w:lang w:val="en-US"/>
            </w:rPr>
            <w:fldChar w:fldCharType="begin"/>
          </w:r>
          <w:r w:rsidR="007243F5">
            <w:rPr>
              <w:lang w:val="en-US"/>
            </w:rPr>
            <w:instrText xml:space="preserve"> CITATION Fie \l</w:instrText>
          </w:r>
          <w:r w:rsidR="00851ED8">
            <w:rPr>
              <w:lang w:val="en-US"/>
            </w:rPr>
            <w:instrText xml:space="preserve"> en-US </w:instrText>
          </w:r>
          <w:r w:rsidR="007243F5">
            <w:rPr>
              <w:lang w:val="en-US"/>
            </w:rPr>
            <w:fldChar w:fldCharType="separate"/>
          </w:r>
          <w:r w:rsidR="007243F5" w:rsidRPr="007243F5">
            <w:rPr>
              <w:noProof/>
              <w:lang w:val="en-US"/>
            </w:rPr>
            <w:t>[2]</w:t>
          </w:r>
          <w:r w:rsidR="007243F5">
            <w:rPr>
              <w:lang w:val="en-US"/>
            </w:rPr>
            <w:fldChar w:fldCharType="end"/>
          </w:r>
        </w:sdtContent>
      </w:sdt>
      <w:sdt>
        <w:sdtPr>
          <w:rPr>
            <w:lang w:val="en-US"/>
          </w:rPr>
          <w:id w:val="-1602409431"/>
          <w:citation/>
        </w:sdtPr>
        <w:sdtEndPr/>
        <w:sdtContent>
          <w:r w:rsidR="007243F5">
            <w:rPr>
              <w:lang w:val="en-US"/>
            </w:rPr>
            <w:fldChar w:fldCharType="begin"/>
          </w:r>
          <w:r w:rsidR="007243F5">
            <w:rPr>
              <w:lang w:val="en-US"/>
            </w:rPr>
            <w:instrText xml:space="preserve"> CITATION Sha242 \l</w:instrText>
          </w:r>
          <w:r w:rsidR="00851ED8">
            <w:rPr>
              <w:lang w:val="en-US"/>
            </w:rPr>
            <w:instrText xml:space="preserve"> en-US </w:instrText>
          </w:r>
          <w:r w:rsidR="007243F5">
            <w:rPr>
              <w:lang w:val="en-US"/>
            </w:rPr>
            <w:fldChar w:fldCharType="separate"/>
          </w:r>
          <w:r w:rsidR="007243F5">
            <w:rPr>
              <w:noProof/>
              <w:lang w:val="en-US"/>
            </w:rPr>
            <w:t xml:space="preserve"> </w:t>
          </w:r>
          <w:r w:rsidR="007243F5" w:rsidRPr="007243F5">
            <w:rPr>
              <w:noProof/>
              <w:lang w:val="en-US"/>
            </w:rPr>
            <w:t>[3]</w:t>
          </w:r>
          <w:r w:rsidR="007243F5">
            <w:rPr>
              <w:lang w:val="en-US"/>
            </w:rPr>
            <w:fldChar w:fldCharType="end"/>
          </w:r>
        </w:sdtContent>
      </w:sdt>
      <w:sdt>
        <w:sdtPr>
          <w:rPr>
            <w:lang w:val="en-US"/>
          </w:rPr>
          <w:id w:val="28464609"/>
          <w:citation/>
        </w:sdtPr>
        <w:sdtEndPr/>
        <w:sdtContent>
          <w:r w:rsidR="007243F5">
            <w:rPr>
              <w:lang w:val="en-US"/>
            </w:rPr>
            <w:fldChar w:fldCharType="begin"/>
          </w:r>
          <w:r w:rsidR="007243F5">
            <w:rPr>
              <w:lang w:val="en-US"/>
            </w:rPr>
            <w:instrText xml:space="preserve"> CITATION Pat22 \l</w:instrText>
          </w:r>
          <w:r w:rsidR="00851ED8">
            <w:rPr>
              <w:lang w:val="en-US"/>
            </w:rPr>
            <w:instrText xml:space="preserve"> en-US </w:instrText>
          </w:r>
          <w:r w:rsidR="007243F5">
            <w:rPr>
              <w:lang w:val="en-US"/>
            </w:rPr>
            <w:fldChar w:fldCharType="separate"/>
          </w:r>
          <w:r w:rsidR="007243F5">
            <w:rPr>
              <w:noProof/>
              <w:lang w:val="en-US"/>
            </w:rPr>
            <w:t xml:space="preserve"> </w:t>
          </w:r>
          <w:r w:rsidR="007243F5" w:rsidRPr="007243F5">
            <w:rPr>
              <w:noProof/>
              <w:lang w:val="en-US"/>
            </w:rPr>
            <w:t>[8]</w:t>
          </w:r>
          <w:r w:rsidR="007243F5">
            <w:rPr>
              <w:lang w:val="en-US"/>
            </w:rPr>
            <w:fldChar w:fldCharType="end"/>
          </w:r>
        </w:sdtContent>
      </w:sdt>
      <w:r w:rsidRPr="004C60FF">
        <w:rPr>
          <w:lang w:val="en-US"/>
        </w:rPr>
        <w:t>. However, there is a lack of socio-technical systems that deliberately bridge healthcare and HR processes for neurodivergent populations, combining clinical decision support, privacy-preserving data sharing, and workplace planning in a coordinated manner.</w:t>
      </w:r>
    </w:p>
    <w:p w14:paraId="440A828A" w14:textId="2F144FBF" w:rsidR="001522DF" w:rsidRDefault="001522DF" w:rsidP="001522DF">
      <w:pPr>
        <w:pStyle w:val="Heading2"/>
      </w:pPr>
      <w:r>
        <w:t>Research Gap and Justification</w:t>
      </w:r>
    </w:p>
    <w:p w14:paraId="39441081" w14:textId="7B391A0D" w:rsidR="001522DF" w:rsidRDefault="006B3732" w:rsidP="001522DF">
      <w:pPr>
        <w:jc w:val="both"/>
      </w:pPr>
      <w:r w:rsidRPr="006B3732">
        <w:t xml:space="preserve">Existing approaches to supporting adults with learning disorders typically rely on static clinical reports and manual HR processes that do not support continuous adjustment of accommodations or systematic monitoring of outcomes. Current AI applications in healthcare focus mainly on diagnostics and predictive analytics within clinical domains; they rarely extend to structured collaboration with HR processes or to longitudinal tracking of workplace impact </w:t>
      </w:r>
      <w:sdt>
        <w:sdtPr>
          <w:id w:val="-2025771259"/>
          <w:citation/>
        </w:sdtPr>
        <w:sdtEndPr/>
        <w:sdtContent>
          <w:r w:rsidR="000A42F6">
            <w:fldChar w:fldCharType="begin"/>
          </w:r>
          <w:r w:rsidR="000A42F6">
            <w:instrText xml:space="preserve"> CITATION Kha \l</w:instrText>
          </w:r>
          <w:r w:rsidR="00851ED8">
            <w:instrText xml:space="preserve"> en-US </w:instrText>
          </w:r>
          <w:r w:rsidR="000A42F6">
            <w:fldChar w:fldCharType="separate"/>
          </w:r>
          <w:r w:rsidR="000A42F6" w:rsidRPr="000A42F6">
            <w:rPr>
              <w:noProof/>
            </w:rPr>
            <w:t>[1]</w:t>
          </w:r>
          <w:r w:rsidR="000A42F6">
            <w:fldChar w:fldCharType="end"/>
          </w:r>
        </w:sdtContent>
      </w:sdt>
      <w:sdt>
        <w:sdtPr>
          <w:id w:val="1884978742"/>
          <w:citation/>
        </w:sdtPr>
        <w:sdtEndPr/>
        <w:sdtContent>
          <w:r w:rsidR="000A42F6">
            <w:fldChar w:fldCharType="begin"/>
          </w:r>
          <w:r w:rsidR="000A42F6">
            <w:instrText xml:space="preserve"> CITATION Abb24 \l</w:instrText>
          </w:r>
          <w:r w:rsidR="00851ED8">
            <w:instrText xml:space="preserve"> en-US </w:instrText>
          </w:r>
          <w:r w:rsidR="000A42F6">
            <w:fldChar w:fldCharType="separate"/>
          </w:r>
          <w:r w:rsidR="000A42F6">
            <w:rPr>
              <w:noProof/>
            </w:rPr>
            <w:t xml:space="preserve"> </w:t>
          </w:r>
          <w:r w:rsidR="000A42F6" w:rsidRPr="000A42F6">
            <w:rPr>
              <w:noProof/>
            </w:rPr>
            <w:t>[7]</w:t>
          </w:r>
          <w:r w:rsidR="000A42F6">
            <w:fldChar w:fldCharType="end"/>
          </w:r>
        </w:sdtContent>
      </w:sdt>
      <w:sdt>
        <w:sdtPr>
          <w:id w:val="-618914426"/>
          <w:citation/>
        </w:sdtPr>
        <w:sdtEndPr/>
        <w:sdtContent>
          <w:r w:rsidR="000A42F6">
            <w:fldChar w:fldCharType="begin"/>
          </w:r>
          <w:r w:rsidR="000A42F6">
            <w:instrText xml:space="preserve"> CITATION Pes25 \l</w:instrText>
          </w:r>
          <w:r w:rsidR="00851ED8">
            <w:instrText xml:space="preserve"> en-US </w:instrText>
          </w:r>
          <w:r w:rsidR="000A42F6">
            <w:fldChar w:fldCharType="separate"/>
          </w:r>
          <w:r w:rsidR="000A42F6">
            <w:rPr>
              <w:noProof/>
            </w:rPr>
            <w:t xml:space="preserve"> </w:t>
          </w:r>
          <w:r w:rsidR="000A42F6" w:rsidRPr="000A42F6">
            <w:rPr>
              <w:noProof/>
            </w:rPr>
            <w:t>[9]</w:t>
          </w:r>
          <w:r w:rsidR="000A42F6">
            <w:fldChar w:fldCharType="end"/>
          </w:r>
        </w:sdtContent>
      </w:sdt>
      <w:r w:rsidRPr="006B3732">
        <w:t xml:space="preserve">. On the other hand, emerging AI-driven HR systems concentrate on burnout, turnover, and equity at a workforce level but seldom integrate granular clinical insights from neurodevelopmental assessments </w:t>
      </w:r>
      <w:sdt>
        <w:sdtPr>
          <w:id w:val="-1668094633"/>
          <w:citation/>
        </w:sdtPr>
        <w:sdtEndPr/>
        <w:sdtContent>
          <w:r w:rsidR="00393DA4">
            <w:fldChar w:fldCharType="begin"/>
          </w:r>
          <w:r w:rsidR="00393DA4">
            <w:instrText xml:space="preserve"> CITATION Fie \l</w:instrText>
          </w:r>
          <w:r w:rsidR="00851ED8">
            <w:instrText xml:space="preserve"> en-US </w:instrText>
          </w:r>
          <w:r w:rsidR="00393DA4">
            <w:fldChar w:fldCharType="separate"/>
          </w:r>
          <w:r w:rsidR="00393DA4" w:rsidRPr="00393DA4">
            <w:rPr>
              <w:noProof/>
            </w:rPr>
            <w:t>[2]</w:t>
          </w:r>
          <w:r w:rsidR="00393DA4">
            <w:fldChar w:fldCharType="end"/>
          </w:r>
        </w:sdtContent>
      </w:sdt>
      <w:sdt>
        <w:sdtPr>
          <w:id w:val="102001601"/>
          <w:citation/>
        </w:sdtPr>
        <w:sdtEndPr/>
        <w:sdtContent>
          <w:r w:rsidR="00350F78">
            <w:fldChar w:fldCharType="begin"/>
          </w:r>
          <w:r w:rsidR="00350F78">
            <w:instrText xml:space="preserve"> CITATION Sha242 \l</w:instrText>
          </w:r>
          <w:r w:rsidR="00851ED8">
            <w:instrText xml:space="preserve"> en-US </w:instrText>
          </w:r>
          <w:r w:rsidR="00350F78">
            <w:fldChar w:fldCharType="separate"/>
          </w:r>
          <w:r w:rsidR="00350F78">
            <w:rPr>
              <w:noProof/>
            </w:rPr>
            <w:t xml:space="preserve"> </w:t>
          </w:r>
          <w:r w:rsidR="00350F78" w:rsidRPr="00350F78">
            <w:rPr>
              <w:noProof/>
            </w:rPr>
            <w:t>[3]</w:t>
          </w:r>
          <w:r w:rsidR="00350F78">
            <w:fldChar w:fldCharType="end"/>
          </w:r>
        </w:sdtContent>
      </w:sdt>
      <w:sdt>
        <w:sdtPr>
          <w:id w:val="-249807657"/>
          <w:citation/>
        </w:sdtPr>
        <w:sdtEndPr/>
        <w:sdtContent>
          <w:r w:rsidR="00350F78">
            <w:fldChar w:fldCharType="begin"/>
          </w:r>
          <w:r w:rsidR="00350F78">
            <w:instrText xml:space="preserve"> CITATION Ian251 \l</w:instrText>
          </w:r>
          <w:r w:rsidR="00851ED8">
            <w:instrText xml:space="preserve"> en-US </w:instrText>
          </w:r>
          <w:r w:rsidR="00350F78">
            <w:fldChar w:fldCharType="separate"/>
          </w:r>
          <w:r w:rsidR="00350F78">
            <w:rPr>
              <w:noProof/>
            </w:rPr>
            <w:t xml:space="preserve"> </w:t>
          </w:r>
          <w:r w:rsidR="00350F78" w:rsidRPr="00350F78">
            <w:rPr>
              <w:noProof/>
            </w:rPr>
            <w:t>[10]</w:t>
          </w:r>
          <w:r w:rsidR="00350F78">
            <w:fldChar w:fldCharType="end"/>
          </w:r>
        </w:sdtContent>
      </w:sdt>
      <w:r w:rsidRPr="006B3732">
        <w:t>.</w:t>
      </w:r>
    </w:p>
    <w:p w14:paraId="0B1E3283" w14:textId="20848271" w:rsidR="00A362BA" w:rsidRDefault="00A362BA" w:rsidP="001522DF">
      <w:pPr>
        <w:jc w:val="both"/>
      </w:pPr>
    </w:p>
    <w:p w14:paraId="168CDB08" w14:textId="29851C1C" w:rsidR="00A362BA" w:rsidRDefault="00A362BA" w:rsidP="001522DF">
      <w:pPr>
        <w:jc w:val="both"/>
      </w:pPr>
      <w:r w:rsidRPr="00A362BA">
        <w:t>Across both domains, robust privacy and security safeguards are essential. Federated learning and related privacy-preserving AI techniques enable collaborative model training across distributed institutions without centralizing raw data, using mechanisms such as secure aggregation, differential privacy, and cryptographic computation to comply with HIPAA, GDPR and similar regulations</w:t>
      </w:r>
      <w:r>
        <w:t xml:space="preserve"> </w:t>
      </w:r>
      <w:sdt>
        <w:sdtPr>
          <w:id w:val="-1734462140"/>
          <w:citation/>
        </w:sdtPr>
        <w:sdtEndPr/>
        <w:sdtContent>
          <w:r w:rsidR="00307D8D">
            <w:fldChar w:fldCharType="begin"/>
          </w:r>
          <w:r w:rsidR="00307D8D">
            <w:instrText xml:space="preserve"> CITATION Kha \l</w:instrText>
          </w:r>
          <w:r w:rsidR="00851ED8">
            <w:instrText xml:space="preserve"> en-US </w:instrText>
          </w:r>
          <w:r w:rsidR="00307D8D">
            <w:fldChar w:fldCharType="separate"/>
          </w:r>
          <w:r w:rsidR="00307D8D" w:rsidRPr="00307D8D">
            <w:rPr>
              <w:noProof/>
            </w:rPr>
            <w:t>[1]</w:t>
          </w:r>
          <w:r w:rsidR="00307D8D">
            <w:fldChar w:fldCharType="end"/>
          </w:r>
        </w:sdtContent>
      </w:sdt>
      <w:sdt>
        <w:sdtPr>
          <w:id w:val="-643273860"/>
          <w:citation/>
        </w:sdtPr>
        <w:sdtEndPr/>
        <w:sdtContent>
          <w:r w:rsidR="00307D8D">
            <w:fldChar w:fldCharType="begin"/>
          </w:r>
          <w:r w:rsidR="00307D8D">
            <w:instrText xml:space="preserve"> CITATION Abb24 \l</w:instrText>
          </w:r>
          <w:r w:rsidR="00851ED8">
            <w:instrText xml:space="preserve"> en-US </w:instrText>
          </w:r>
          <w:r w:rsidR="00307D8D">
            <w:fldChar w:fldCharType="separate"/>
          </w:r>
          <w:r w:rsidR="00307D8D">
            <w:rPr>
              <w:noProof/>
            </w:rPr>
            <w:t xml:space="preserve"> </w:t>
          </w:r>
          <w:r w:rsidR="00307D8D" w:rsidRPr="00307D8D">
            <w:rPr>
              <w:noProof/>
            </w:rPr>
            <w:t>[7]</w:t>
          </w:r>
          <w:r w:rsidR="00307D8D">
            <w:fldChar w:fldCharType="end"/>
          </w:r>
        </w:sdtContent>
      </w:sdt>
      <w:r w:rsidRPr="00A362BA">
        <w:t xml:space="preserve">. Yet, even in federated settings, model updates can leak information, and issues such as data heterogeneity, fairness, and adversarial attacks require layered defenses and strong governance </w:t>
      </w:r>
      <w:sdt>
        <w:sdtPr>
          <w:id w:val="252254657"/>
          <w:citation/>
        </w:sdtPr>
        <w:sdtEndPr/>
        <w:sdtContent>
          <w:r w:rsidR="00307D8D">
            <w:fldChar w:fldCharType="begin"/>
          </w:r>
          <w:r w:rsidR="00307D8D">
            <w:instrText xml:space="preserve"> CITATION Ali22 \l</w:instrText>
          </w:r>
          <w:r w:rsidR="00851ED8">
            <w:instrText xml:space="preserve"> en-US </w:instrText>
          </w:r>
          <w:r w:rsidR="00307D8D">
            <w:fldChar w:fldCharType="separate"/>
          </w:r>
          <w:r w:rsidR="00307D8D" w:rsidRPr="00307D8D">
            <w:rPr>
              <w:noProof/>
            </w:rPr>
            <w:t>[4]</w:t>
          </w:r>
          <w:r w:rsidR="00307D8D">
            <w:fldChar w:fldCharType="end"/>
          </w:r>
        </w:sdtContent>
      </w:sdt>
      <w:r w:rsidRPr="00A362BA">
        <w:t>.</w:t>
      </w:r>
    </w:p>
    <w:p w14:paraId="232E851E" w14:textId="4AB59CED" w:rsidR="00307D8D" w:rsidRDefault="00307D8D" w:rsidP="001522DF">
      <w:pPr>
        <w:jc w:val="both"/>
      </w:pPr>
    </w:p>
    <w:p w14:paraId="75359F81" w14:textId="4C7F7B7B" w:rsidR="00343878" w:rsidRDefault="00307D8D" w:rsidP="001522DF">
      <w:pPr>
        <w:jc w:val="both"/>
      </w:pPr>
      <w:r w:rsidRPr="00307D8D">
        <w:t xml:space="preserve">Within mental health and neurodivergence management, integrated AI platforms that couple decision support with secure data governance and human oversight are emerging but remain rare and are typically limited to clinical workflows rather than cross-domain HR integration </w:t>
      </w:r>
      <w:sdt>
        <w:sdtPr>
          <w:id w:val="1951359683"/>
          <w:citation/>
        </w:sdtPr>
        <w:sdtEndPr/>
        <w:sdtContent>
          <w:r w:rsidR="00152367">
            <w:fldChar w:fldCharType="begin"/>
          </w:r>
          <w:r w:rsidR="00152367">
            <w:instrText xml:space="preserve"> CITATION Hig25 \l</w:instrText>
          </w:r>
          <w:r w:rsidR="00851ED8">
            <w:instrText xml:space="preserve"> en-US </w:instrText>
          </w:r>
          <w:r w:rsidR="00152367">
            <w:fldChar w:fldCharType="separate"/>
          </w:r>
          <w:r w:rsidR="00152367" w:rsidRPr="00152367">
            <w:rPr>
              <w:noProof/>
            </w:rPr>
            <w:t>[11]</w:t>
          </w:r>
          <w:r w:rsidR="00152367">
            <w:fldChar w:fldCharType="end"/>
          </w:r>
        </w:sdtContent>
      </w:sdt>
      <w:r w:rsidRPr="00307D8D">
        <w:t xml:space="preserve">. Narrative and systematic reviews repeatedly call for human-in-the-loop AI, transparency, and ethical safeguards to maintain clinician and worker trust, particularly in high-risk, data-intensive applications </w:t>
      </w:r>
      <w:sdt>
        <w:sdtPr>
          <w:id w:val="-2119519818"/>
          <w:citation/>
        </w:sdtPr>
        <w:sdtEndPr/>
        <w:sdtContent>
          <w:r w:rsidR="006F3BB2">
            <w:fldChar w:fldCharType="begin"/>
          </w:r>
          <w:r w:rsidR="006F3BB2">
            <w:instrText xml:space="preserve"> CITATION Kha \l</w:instrText>
          </w:r>
          <w:r w:rsidR="00851ED8">
            <w:instrText xml:space="preserve"> en-US </w:instrText>
          </w:r>
          <w:r w:rsidR="006F3BB2">
            <w:fldChar w:fldCharType="separate"/>
          </w:r>
          <w:r w:rsidR="006F3BB2" w:rsidRPr="006F3BB2">
            <w:rPr>
              <w:noProof/>
            </w:rPr>
            <w:t>[1]</w:t>
          </w:r>
          <w:r w:rsidR="006F3BB2">
            <w:fldChar w:fldCharType="end"/>
          </w:r>
        </w:sdtContent>
      </w:sdt>
      <w:sdt>
        <w:sdtPr>
          <w:id w:val="-1485315003"/>
          <w:citation/>
        </w:sdtPr>
        <w:sdtEndPr/>
        <w:sdtContent>
          <w:r w:rsidR="006F3BB2">
            <w:fldChar w:fldCharType="begin"/>
          </w:r>
          <w:r w:rsidR="006F3BB2">
            <w:instrText xml:space="preserve"> CITATION Fie \l</w:instrText>
          </w:r>
          <w:r w:rsidR="00851ED8">
            <w:instrText xml:space="preserve"> en-US </w:instrText>
          </w:r>
          <w:r w:rsidR="006F3BB2">
            <w:fldChar w:fldCharType="separate"/>
          </w:r>
          <w:r w:rsidR="006F3BB2">
            <w:rPr>
              <w:noProof/>
            </w:rPr>
            <w:t xml:space="preserve"> </w:t>
          </w:r>
          <w:r w:rsidR="006F3BB2" w:rsidRPr="006F3BB2">
            <w:rPr>
              <w:noProof/>
            </w:rPr>
            <w:t>[2]</w:t>
          </w:r>
          <w:r w:rsidR="006F3BB2">
            <w:fldChar w:fldCharType="end"/>
          </w:r>
        </w:sdtContent>
      </w:sdt>
      <w:sdt>
        <w:sdtPr>
          <w:id w:val="1716465386"/>
          <w:citation/>
        </w:sdtPr>
        <w:sdtEndPr/>
        <w:sdtContent>
          <w:r w:rsidR="006F3BB2">
            <w:fldChar w:fldCharType="begin"/>
          </w:r>
          <w:r w:rsidR="006F3BB2">
            <w:instrText xml:space="preserve"> CITATION Hig25 \l</w:instrText>
          </w:r>
          <w:r w:rsidR="00851ED8">
            <w:instrText xml:space="preserve"> en-US </w:instrText>
          </w:r>
          <w:r w:rsidR="006F3BB2">
            <w:fldChar w:fldCharType="separate"/>
          </w:r>
          <w:r w:rsidR="006F3BB2">
            <w:rPr>
              <w:noProof/>
            </w:rPr>
            <w:t xml:space="preserve"> </w:t>
          </w:r>
          <w:r w:rsidR="006F3BB2" w:rsidRPr="006F3BB2">
            <w:rPr>
              <w:noProof/>
            </w:rPr>
            <w:t>[11]</w:t>
          </w:r>
          <w:r w:rsidR="006F3BB2">
            <w:fldChar w:fldCharType="end"/>
          </w:r>
        </w:sdtContent>
      </w:sdt>
      <w:r w:rsidRPr="00307D8D">
        <w:t>. Collectively, these findings reveal a clear gap: there is no comprehensive, privacy-preserving, AI-enabled platform designed to synchronize clinical assessment of learning disorders with workplace accommodations, under explicit human governance and across multiple stakeholder roles.</w:t>
      </w:r>
    </w:p>
    <w:p w14:paraId="31179122" w14:textId="6FCEC28F" w:rsidR="00343878" w:rsidRDefault="00343878" w:rsidP="002B656B">
      <w:pPr>
        <w:pStyle w:val="Heading2"/>
      </w:pPr>
      <w:r>
        <w:t>Research Aim</w:t>
      </w:r>
    </w:p>
    <w:p w14:paraId="3CD214CD" w14:textId="2D1E16ED" w:rsidR="00343878" w:rsidRDefault="00343878" w:rsidP="001522DF">
      <w:pPr>
        <w:jc w:val="both"/>
      </w:pPr>
      <w:r w:rsidRPr="00343878">
        <w:t>The aim of this research is to design, develop, and evaluate CareLink, an AI-enabled integrated healthcare–HR platform that facilitates coordinated management of learning disorders by synchronizing clinical assessments with workplace accommodations, enforcing privacy and security requirements, and enhancing intervention adherence and employee outcomes.</w:t>
      </w:r>
    </w:p>
    <w:p w14:paraId="53F713D5" w14:textId="1A19EB16" w:rsidR="00EA4E0C" w:rsidRDefault="00EA4E0C" w:rsidP="00EA4E0C">
      <w:pPr>
        <w:pStyle w:val="Heading2"/>
      </w:pPr>
      <w:r>
        <w:t xml:space="preserve">Research </w:t>
      </w:r>
      <w:r w:rsidR="00410761">
        <w:t>Objectives</w:t>
      </w:r>
    </w:p>
    <w:p w14:paraId="7AC0585C" w14:textId="77777777" w:rsidR="00410761" w:rsidRDefault="00410761" w:rsidP="00410761">
      <w:pPr>
        <w:pStyle w:val="ListParagraph"/>
        <w:numPr>
          <w:ilvl w:val="0"/>
          <w:numId w:val="25"/>
        </w:numPr>
        <w:jc w:val="both"/>
      </w:pPr>
      <w:r>
        <w:t>To analyze current healthcare and HR workflows for managing learning disorders.</w:t>
      </w:r>
    </w:p>
    <w:p w14:paraId="0BB0F3F0" w14:textId="77777777" w:rsidR="00410761" w:rsidRDefault="00410761" w:rsidP="00410761">
      <w:pPr>
        <w:pStyle w:val="ListParagraph"/>
        <w:numPr>
          <w:ilvl w:val="0"/>
          <w:numId w:val="25"/>
        </w:numPr>
        <w:jc w:val="both"/>
      </w:pPr>
      <w:r>
        <w:lastRenderedPageBreak/>
        <w:t>To design a microservices-based platform for real-time, consent-based data sharing.</w:t>
      </w:r>
    </w:p>
    <w:p w14:paraId="1E296002" w14:textId="77777777" w:rsidR="00410761" w:rsidRDefault="00410761" w:rsidP="00410761">
      <w:pPr>
        <w:pStyle w:val="ListParagraph"/>
        <w:numPr>
          <w:ilvl w:val="0"/>
          <w:numId w:val="25"/>
        </w:numPr>
        <w:jc w:val="both"/>
      </w:pPr>
      <w:r>
        <w:t>To develop AI models for early screening and severity classification, with clinician validation.</w:t>
      </w:r>
    </w:p>
    <w:p w14:paraId="3D52DD12" w14:textId="77777777" w:rsidR="00410761" w:rsidRDefault="00410761" w:rsidP="00410761">
      <w:pPr>
        <w:pStyle w:val="ListParagraph"/>
        <w:numPr>
          <w:ilvl w:val="0"/>
          <w:numId w:val="25"/>
        </w:numPr>
        <w:jc w:val="both"/>
      </w:pPr>
      <w:r>
        <w:t>To implement role-based access control and granular consent aligned with HIPAA/GDPR.</w:t>
      </w:r>
    </w:p>
    <w:p w14:paraId="40C6DB1E" w14:textId="77777777" w:rsidR="00410761" w:rsidRDefault="00410761" w:rsidP="00410761">
      <w:pPr>
        <w:pStyle w:val="ListParagraph"/>
        <w:numPr>
          <w:ilvl w:val="0"/>
          <w:numId w:val="25"/>
        </w:numPr>
        <w:jc w:val="both"/>
      </w:pPr>
      <w:r>
        <w:t>To evaluate effects on time-to-support, adherence, and alignment of clinical/HR decisions.</w:t>
      </w:r>
    </w:p>
    <w:p w14:paraId="6F5C59F8" w14:textId="492103B2" w:rsidR="00410761" w:rsidRDefault="00410761" w:rsidP="00410761">
      <w:pPr>
        <w:pStyle w:val="ListParagraph"/>
        <w:numPr>
          <w:ilvl w:val="0"/>
          <w:numId w:val="25"/>
        </w:numPr>
        <w:jc w:val="both"/>
      </w:pPr>
      <w:r>
        <w:t>To assess user experience for employees, clinicians, and HR, and refine interfaces.</w:t>
      </w:r>
    </w:p>
    <w:p w14:paraId="12978CDF" w14:textId="77777777" w:rsidR="007C7791" w:rsidRPr="00410761" w:rsidRDefault="007C7791" w:rsidP="007C7791">
      <w:pPr>
        <w:jc w:val="both"/>
      </w:pPr>
    </w:p>
    <w:p w14:paraId="6D859106" w14:textId="197E5E81" w:rsidR="006F3BB2" w:rsidRPr="001522DF" w:rsidRDefault="007C7791" w:rsidP="007C7791">
      <w:pPr>
        <w:pStyle w:val="Heading2"/>
      </w:pPr>
      <w:r>
        <w:t>Research Questions</w:t>
      </w:r>
    </w:p>
    <w:p w14:paraId="4B3B076E" w14:textId="77777777" w:rsidR="007C7791" w:rsidRDefault="007C7791" w:rsidP="007C7791">
      <w:pPr>
        <w:pStyle w:val="BodyText"/>
        <w:numPr>
          <w:ilvl w:val="0"/>
          <w:numId w:val="25"/>
        </w:numPr>
        <w:rPr>
          <w:lang w:val="en-US"/>
        </w:rPr>
      </w:pPr>
      <w:r w:rsidRPr="007C7791">
        <w:rPr>
          <w:lang w:val="en-US"/>
        </w:rPr>
        <w:t>What are the main challenges and inefficiencies in current clinical and HR processes for learning disorders?</w:t>
      </w:r>
    </w:p>
    <w:p w14:paraId="6578EF5F" w14:textId="77777777" w:rsidR="007C7791" w:rsidRDefault="007C7791" w:rsidP="007C7791">
      <w:pPr>
        <w:pStyle w:val="BodyText"/>
        <w:numPr>
          <w:ilvl w:val="0"/>
          <w:numId w:val="25"/>
        </w:numPr>
        <w:rPr>
          <w:lang w:val="en-US"/>
        </w:rPr>
      </w:pPr>
      <w:r w:rsidRPr="007C7791">
        <w:rPr>
          <w:lang w:val="en-US"/>
        </w:rPr>
        <w:t>How can AI-based screening and decision support be integrated ethically and in line with regulation?</w:t>
      </w:r>
    </w:p>
    <w:p w14:paraId="74B0C41F" w14:textId="77777777" w:rsidR="007C7791" w:rsidRDefault="007C7791" w:rsidP="007C7791">
      <w:pPr>
        <w:pStyle w:val="BodyText"/>
        <w:numPr>
          <w:ilvl w:val="0"/>
          <w:numId w:val="25"/>
        </w:numPr>
        <w:rPr>
          <w:lang w:val="en-US"/>
        </w:rPr>
      </w:pPr>
      <w:r w:rsidRPr="007C7791">
        <w:rPr>
          <w:lang w:val="en-US"/>
        </w:rPr>
        <w:t>Which architectural and technical approaches best enable secure, seamless healthcare–HR data sharing?</w:t>
      </w:r>
    </w:p>
    <w:p w14:paraId="78343D51" w14:textId="77777777" w:rsidR="007C7791" w:rsidRDefault="007C7791" w:rsidP="007C7791">
      <w:pPr>
        <w:pStyle w:val="BodyText"/>
        <w:numPr>
          <w:ilvl w:val="0"/>
          <w:numId w:val="25"/>
        </w:numPr>
        <w:rPr>
          <w:lang w:val="en-US"/>
        </w:rPr>
      </w:pPr>
      <w:r w:rsidRPr="007C7791">
        <w:rPr>
          <w:lang w:val="en-US"/>
        </w:rPr>
        <w:t>How does human-in-the-loop oversight affect accuracy and acceptance of AI recommendations?</w:t>
      </w:r>
    </w:p>
    <w:p w14:paraId="37E48F72" w14:textId="77777777" w:rsidR="007C7791" w:rsidRDefault="007C7791" w:rsidP="007C7791">
      <w:pPr>
        <w:pStyle w:val="BodyText"/>
        <w:numPr>
          <w:ilvl w:val="0"/>
          <w:numId w:val="25"/>
        </w:numPr>
        <w:rPr>
          <w:lang w:val="en-US"/>
        </w:rPr>
      </w:pPr>
      <w:r w:rsidRPr="007C7791">
        <w:rPr>
          <w:lang w:val="en-US"/>
        </w:rPr>
        <w:t>To what extent can an integrated platform reduce delays, improve retention, and increase adherence?</w:t>
      </w:r>
    </w:p>
    <w:p w14:paraId="162928AF" w14:textId="2DD3F82D" w:rsidR="001522DF" w:rsidRPr="007C7791" w:rsidRDefault="007C7791" w:rsidP="007C7791">
      <w:pPr>
        <w:pStyle w:val="BodyText"/>
        <w:numPr>
          <w:ilvl w:val="0"/>
          <w:numId w:val="25"/>
        </w:numPr>
        <w:rPr>
          <w:lang w:val="en-US"/>
        </w:rPr>
      </w:pPr>
      <w:r w:rsidRPr="007C7791">
        <w:rPr>
          <w:lang w:val="en-US"/>
        </w:rPr>
        <w:t>What interface and design features are needed to support different user roles effectively?</w:t>
      </w:r>
    </w:p>
    <w:p w14:paraId="179EA777" w14:textId="6171E94A" w:rsidR="009303D9" w:rsidRDefault="00B93BFB" w:rsidP="006B6B66">
      <w:pPr>
        <w:pStyle w:val="Heading1"/>
      </w:pPr>
      <w:r>
        <w:t>Literature Review</w:t>
      </w:r>
    </w:p>
    <w:p w14:paraId="6A0FA275" w14:textId="11B744FD" w:rsidR="00B84CD6" w:rsidRPr="00B84CD6" w:rsidRDefault="00B84CD6" w:rsidP="00B84CD6">
      <w:pPr>
        <w:jc w:val="both"/>
      </w:pPr>
      <w:r w:rsidRPr="00B84CD6">
        <w:t>This section reviews prior work on AI-driven decision support in healthcare and mental health, data‑sharing architectures, and AI‑augmented human resources management (HRM), to position an integrated healthcare–HR platform for learning disorders within existing research.</w:t>
      </w:r>
    </w:p>
    <w:p w14:paraId="3C8B3FFF" w14:textId="2A15DBCB" w:rsidR="009303D9" w:rsidRDefault="00684D00" w:rsidP="00ED0149">
      <w:pPr>
        <w:pStyle w:val="Heading2"/>
      </w:pPr>
      <w:r w:rsidRPr="00684D00">
        <w:t>AI and Machine Learning in Healthcare and Mental Health</w:t>
      </w:r>
    </w:p>
    <w:p w14:paraId="4522E337" w14:textId="69D7E515" w:rsidR="009303D9" w:rsidRDefault="00F35B56" w:rsidP="00E7596C">
      <w:pPr>
        <w:pStyle w:val="BodyText"/>
      </w:pPr>
      <w:r w:rsidRPr="00F35B56">
        <w:t xml:space="preserve">AI is now widely applied across healthcare in diagnostics, predictive medicine, workflow optimization, and clinical decision‑making </w:t>
      </w:r>
      <w:sdt>
        <w:sdtPr>
          <w:id w:val="-1217506871"/>
          <w:citation/>
        </w:sdtPr>
        <w:sdtEndPr/>
        <w:sdtContent>
          <w:r w:rsidR="0061516D">
            <w:fldChar w:fldCharType="begin"/>
          </w:r>
          <w:r w:rsidR="0061516D">
            <w:rPr>
              <w:lang w:val="en-US"/>
            </w:rPr>
            <w:instrText xml:space="preserve"> CITATION Sec21 \l</w:instrText>
          </w:r>
          <w:r w:rsidR="00876E17">
            <w:rPr>
              <w:lang w:val="en-US"/>
            </w:rPr>
            <w:instrText xml:space="preserve"> en-US </w:instrText>
          </w:r>
          <w:r w:rsidR="0061516D">
            <w:fldChar w:fldCharType="separate"/>
          </w:r>
          <w:r w:rsidR="0061516D" w:rsidRPr="0061516D">
            <w:rPr>
              <w:noProof/>
              <w:lang w:val="en-US"/>
            </w:rPr>
            <w:t>[12]</w:t>
          </w:r>
          <w:r w:rsidR="0061516D">
            <w:fldChar w:fldCharType="end"/>
          </w:r>
        </w:sdtContent>
      </w:sdt>
      <w:sdt>
        <w:sdtPr>
          <w:id w:val="-1997953934"/>
          <w:citation/>
        </w:sdtPr>
        <w:sdtEndPr/>
        <w:sdtContent>
          <w:r w:rsidR="00895DF7">
            <w:fldChar w:fldCharType="begin"/>
          </w:r>
          <w:r w:rsidR="00895DF7">
            <w:rPr>
              <w:lang w:val="en-US"/>
            </w:rPr>
            <w:instrText xml:space="preserve"> CITATION Alo23 \l</w:instrText>
          </w:r>
          <w:r w:rsidR="00876E17">
            <w:rPr>
              <w:lang w:val="en-US"/>
            </w:rPr>
            <w:instrText xml:space="preserve"> en-US </w:instrText>
          </w:r>
          <w:r w:rsidR="00895DF7">
            <w:fldChar w:fldCharType="separate"/>
          </w:r>
          <w:r w:rsidR="00895DF7">
            <w:rPr>
              <w:noProof/>
              <w:lang w:val="en-US"/>
            </w:rPr>
            <w:t xml:space="preserve"> </w:t>
          </w:r>
          <w:r w:rsidR="00895DF7" w:rsidRPr="00895DF7">
            <w:rPr>
              <w:noProof/>
              <w:lang w:val="en-US"/>
            </w:rPr>
            <w:t>[13]</w:t>
          </w:r>
          <w:r w:rsidR="00895DF7">
            <w:fldChar w:fldCharType="end"/>
          </w:r>
        </w:sdtContent>
      </w:sdt>
      <w:r w:rsidRPr="00F35B56">
        <w:t xml:space="preserve">. Systematic reviews show that machine learning, especially neural networks, support vector machines, and random forests, dominate applications such as outcome prediction and prognosis, with imaging and electronic health records (EHRs) as primary data sources </w:t>
      </w:r>
      <w:sdt>
        <w:sdtPr>
          <w:id w:val="-1665938175"/>
          <w:citation/>
        </w:sdtPr>
        <w:sdtEndPr/>
        <w:sdtContent>
          <w:r>
            <w:fldChar w:fldCharType="begin"/>
          </w:r>
          <w:r>
            <w:rPr>
              <w:lang w:val="en-US"/>
            </w:rPr>
            <w:instrText xml:space="preserve"> CITATION Kol24 \l</w:instrText>
          </w:r>
          <w:r w:rsidR="00876E17">
            <w:rPr>
              <w:lang w:val="en-US"/>
            </w:rPr>
            <w:instrText xml:space="preserve"> en-US </w:instrText>
          </w:r>
          <w:r>
            <w:fldChar w:fldCharType="separate"/>
          </w:r>
          <w:r w:rsidRPr="00F35B56">
            <w:rPr>
              <w:noProof/>
              <w:lang w:val="en-US"/>
            </w:rPr>
            <w:t>[12]</w:t>
          </w:r>
          <w:r>
            <w:fldChar w:fldCharType="end"/>
          </w:r>
        </w:sdtContent>
      </w:sdt>
      <w:sdt>
        <w:sdtPr>
          <w:id w:val="-568494065"/>
          <w:citation/>
        </w:sdtPr>
        <w:sdtEndPr/>
        <w:sdtContent>
          <w:r w:rsidR="0062644C">
            <w:fldChar w:fldCharType="begin"/>
          </w:r>
          <w:r w:rsidR="0062644C">
            <w:rPr>
              <w:lang w:val="en-US"/>
            </w:rPr>
            <w:instrText xml:space="preserve"> CITATION Ami24 \l</w:instrText>
          </w:r>
          <w:r w:rsidR="00876E17">
            <w:rPr>
              <w:lang w:val="en-US"/>
            </w:rPr>
            <w:instrText xml:space="preserve"> en-US </w:instrText>
          </w:r>
          <w:r w:rsidR="0062644C">
            <w:fldChar w:fldCharType="separate"/>
          </w:r>
          <w:r w:rsidR="0062644C">
            <w:rPr>
              <w:noProof/>
              <w:lang w:val="en-US"/>
            </w:rPr>
            <w:t xml:space="preserve"> </w:t>
          </w:r>
          <w:r w:rsidR="0062644C" w:rsidRPr="0062644C">
            <w:rPr>
              <w:noProof/>
              <w:lang w:val="en-US"/>
            </w:rPr>
            <w:t>[13]</w:t>
          </w:r>
          <w:r w:rsidR="0062644C">
            <w:fldChar w:fldCharType="end"/>
          </w:r>
        </w:sdtContent>
      </w:sdt>
      <w:r w:rsidRPr="00F35B56">
        <w:t>.</w:t>
      </w:r>
      <w:r w:rsidR="003B4E04">
        <w:rPr>
          <w:lang w:val="en-US"/>
        </w:rPr>
        <w:t xml:space="preserve"> </w:t>
      </w:r>
    </w:p>
    <w:p w14:paraId="50C375F8" w14:textId="6A0801E6" w:rsidR="007857FD" w:rsidRDefault="007857FD" w:rsidP="007857FD">
      <w:pPr>
        <w:pStyle w:val="BodyText"/>
      </w:pPr>
      <w:r>
        <w:t xml:space="preserve">In mental health specifically, AI‑based clinical decision support systems (CDSS) are emerging but remain under‑studied compared to somatic medicine </w:t>
      </w:r>
      <w:sdt>
        <w:sdtPr>
          <w:id w:val="-1008977230"/>
          <w:citation/>
        </w:sdtPr>
        <w:sdtEndPr/>
        <w:sdtContent>
          <w:r>
            <w:fldChar w:fldCharType="begin"/>
          </w:r>
          <w:r>
            <w:rPr>
              <w:lang w:val="en-US"/>
            </w:rPr>
            <w:instrText xml:space="preserve"> CITATION Hig23 \l</w:instrText>
          </w:r>
          <w:r w:rsidR="00876E17">
            <w:rPr>
              <w:lang w:val="en-US"/>
            </w:rPr>
            <w:instrText xml:space="preserve"> en-US </w:instrText>
          </w:r>
          <w:r>
            <w:fldChar w:fldCharType="separate"/>
          </w:r>
          <w:r w:rsidRPr="007857FD">
            <w:rPr>
              <w:noProof/>
              <w:lang w:val="en-US"/>
            </w:rPr>
            <w:t>[16]</w:t>
          </w:r>
          <w:r>
            <w:fldChar w:fldCharType="end"/>
          </w:r>
        </w:sdtContent>
      </w:sdt>
      <w:sdt>
        <w:sdtPr>
          <w:id w:val="-360043764"/>
          <w:citation/>
        </w:sdtPr>
        <w:sdtEndPr/>
        <w:sdtContent>
          <w:r w:rsidR="00BA48C3">
            <w:fldChar w:fldCharType="begin"/>
          </w:r>
          <w:r w:rsidR="00BA48C3">
            <w:rPr>
              <w:lang w:val="en-US"/>
            </w:rPr>
            <w:instrText xml:space="preserve"> CITATION Hig25 \l</w:instrText>
          </w:r>
          <w:r w:rsidR="00876E17">
            <w:rPr>
              <w:lang w:val="en-US"/>
            </w:rPr>
            <w:instrText xml:space="preserve"> en-US </w:instrText>
          </w:r>
          <w:r w:rsidR="00BA48C3">
            <w:fldChar w:fldCharType="separate"/>
          </w:r>
          <w:r w:rsidR="00BA48C3">
            <w:rPr>
              <w:noProof/>
              <w:lang w:val="en-US"/>
            </w:rPr>
            <w:t xml:space="preserve"> </w:t>
          </w:r>
          <w:r w:rsidR="00BA48C3" w:rsidRPr="00BA48C3">
            <w:rPr>
              <w:noProof/>
              <w:lang w:val="en-US"/>
            </w:rPr>
            <w:t>[11]</w:t>
          </w:r>
          <w:r w:rsidR="00BA48C3">
            <w:fldChar w:fldCharType="end"/>
          </w:r>
        </w:sdtContent>
      </w:sdt>
      <w:r>
        <w:t xml:space="preserve">. Integrative reviews on AI/ML decision support in mental health report small numbers of primary studies and highlight a dominant theme of trust and confidence among clinicians, limited real‑world deployment, and concerns about transparency and user acceptance </w:t>
      </w:r>
      <w:sdt>
        <w:sdtPr>
          <w:id w:val="1731962963"/>
          <w:citation/>
        </w:sdtPr>
        <w:sdtEndPr/>
        <w:sdtContent>
          <w:r w:rsidR="00780336">
            <w:fldChar w:fldCharType="begin"/>
          </w:r>
          <w:r w:rsidR="00780336">
            <w:rPr>
              <w:lang w:val="en-US"/>
            </w:rPr>
            <w:instrText xml:space="preserve"> CITATION Hig23 \l</w:instrText>
          </w:r>
          <w:r w:rsidR="00876E17">
            <w:rPr>
              <w:lang w:val="en-US"/>
            </w:rPr>
            <w:instrText xml:space="preserve"> en-US </w:instrText>
          </w:r>
          <w:r w:rsidR="00780336">
            <w:fldChar w:fldCharType="separate"/>
          </w:r>
          <w:r w:rsidR="00780336" w:rsidRPr="00780336">
            <w:rPr>
              <w:noProof/>
              <w:lang w:val="en-US"/>
            </w:rPr>
            <w:t>[16]</w:t>
          </w:r>
          <w:r w:rsidR="00780336">
            <w:fldChar w:fldCharType="end"/>
          </w:r>
        </w:sdtContent>
      </w:sdt>
      <w:sdt>
        <w:sdtPr>
          <w:id w:val="-1703469122"/>
          <w:citation/>
        </w:sdtPr>
        <w:sdtEndPr/>
        <w:sdtContent>
          <w:r w:rsidR="00780336">
            <w:fldChar w:fldCharType="begin"/>
          </w:r>
          <w:r w:rsidR="00780336">
            <w:rPr>
              <w:lang w:val="en-US"/>
            </w:rPr>
            <w:instrText xml:space="preserve"> CITATION Hig25 \l</w:instrText>
          </w:r>
          <w:r w:rsidR="00876E17">
            <w:rPr>
              <w:lang w:val="en-US"/>
            </w:rPr>
            <w:instrText xml:space="preserve"> en-US </w:instrText>
          </w:r>
          <w:r w:rsidR="00780336">
            <w:fldChar w:fldCharType="separate"/>
          </w:r>
          <w:r w:rsidR="00780336">
            <w:rPr>
              <w:noProof/>
              <w:lang w:val="en-US"/>
            </w:rPr>
            <w:t xml:space="preserve"> </w:t>
          </w:r>
          <w:r w:rsidR="00780336" w:rsidRPr="00780336">
            <w:rPr>
              <w:noProof/>
              <w:lang w:val="en-US"/>
            </w:rPr>
            <w:t>[11]</w:t>
          </w:r>
          <w:r w:rsidR="00780336">
            <w:fldChar w:fldCharType="end"/>
          </w:r>
        </w:sdtContent>
      </w:sdt>
      <w:sdt>
        <w:sdtPr>
          <w:id w:val="-1832597023"/>
          <w:citation/>
        </w:sdtPr>
        <w:sdtEndPr/>
        <w:sdtContent>
          <w:r w:rsidR="00780336">
            <w:fldChar w:fldCharType="begin"/>
          </w:r>
          <w:r w:rsidR="00780336">
            <w:rPr>
              <w:lang w:val="en-US"/>
            </w:rPr>
            <w:instrText xml:space="preserve"> CITATION NiY25 \l</w:instrText>
          </w:r>
          <w:r w:rsidR="00876E17">
            <w:rPr>
              <w:lang w:val="en-US"/>
            </w:rPr>
            <w:instrText xml:space="preserve"> en-US </w:instrText>
          </w:r>
          <w:r w:rsidR="00780336">
            <w:fldChar w:fldCharType="separate"/>
          </w:r>
          <w:r w:rsidR="00780336">
            <w:rPr>
              <w:noProof/>
              <w:lang w:val="en-US"/>
            </w:rPr>
            <w:t xml:space="preserve"> </w:t>
          </w:r>
          <w:r w:rsidR="00780336" w:rsidRPr="00780336">
            <w:rPr>
              <w:noProof/>
              <w:lang w:val="en-US"/>
            </w:rPr>
            <w:t>[17]</w:t>
          </w:r>
          <w:r w:rsidR="00780336">
            <w:fldChar w:fldCharType="end"/>
          </w:r>
        </w:sdtContent>
      </w:sdt>
      <w:r>
        <w:t xml:space="preserve">. Scoping reviews of AI‑enabled mental health tools (e.g., chatbots, NLP systems, LLM‑based agents) show applications across screening, therapeutic support, monitoring, and prevention, often improving access, engagement, and symptom tracking but rarely replacing human care </w:t>
      </w:r>
      <w:sdt>
        <w:sdtPr>
          <w:id w:val="1412345837"/>
          <w:citation/>
        </w:sdtPr>
        <w:sdtEndPr/>
        <w:sdtContent>
          <w:r w:rsidR="001F1E47">
            <w:fldChar w:fldCharType="begin"/>
          </w:r>
          <w:r w:rsidR="001F1E47">
            <w:rPr>
              <w:lang w:val="en-US"/>
            </w:rPr>
            <w:instrText xml:space="preserve"> CITATION NiY25 \l</w:instrText>
          </w:r>
          <w:r w:rsidR="00876E17">
            <w:rPr>
              <w:lang w:val="en-US"/>
            </w:rPr>
            <w:instrText xml:space="preserve"> en-US </w:instrText>
          </w:r>
          <w:r w:rsidR="001F1E47">
            <w:fldChar w:fldCharType="separate"/>
          </w:r>
          <w:r w:rsidR="001F1E47" w:rsidRPr="001F1E47">
            <w:rPr>
              <w:noProof/>
              <w:lang w:val="en-US"/>
            </w:rPr>
            <w:t>[17]</w:t>
          </w:r>
          <w:r w:rsidR="001F1E47">
            <w:fldChar w:fldCharType="end"/>
          </w:r>
        </w:sdtContent>
      </w:sdt>
      <w:r>
        <w:t>.</w:t>
      </w:r>
    </w:p>
    <w:p w14:paraId="759197A9" w14:textId="77777777" w:rsidR="007857FD" w:rsidRDefault="007857FD" w:rsidP="007857FD">
      <w:pPr>
        <w:pStyle w:val="BodyText"/>
      </w:pPr>
    </w:p>
    <w:p w14:paraId="2756159A" w14:textId="14221A17" w:rsidR="007857FD" w:rsidRPr="005B520E" w:rsidRDefault="007857FD" w:rsidP="007857FD">
      <w:pPr>
        <w:pStyle w:val="BodyText"/>
      </w:pPr>
      <w:r>
        <w:t xml:space="preserve">Overall, the literature supports AI’s potential to enhance diagnosis, triage, and monitoring but stresses the need for rigorous validation, external generalizability, and integration into routine workflows </w:t>
      </w:r>
      <w:sdt>
        <w:sdtPr>
          <w:id w:val="-268084033"/>
          <w:citation/>
        </w:sdtPr>
        <w:sdtEndPr/>
        <w:sdtContent>
          <w:r w:rsidR="001F1E47">
            <w:fldChar w:fldCharType="begin"/>
          </w:r>
          <w:r w:rsidR="001F1E47">
            <w:rPr>
              <w:lang w:val="en-US"/>
            </w:rPr>
            <w:instrText xml:space="preserve"> CITATION Alo23 \l</w:instrText>
          </w:r>
          <w:r w:rsidR="00876E17">
            <w:rPr>
              <w:lang w:val="en-US"/>
            </w:rPr>
            <w:instrText xml:space="preserve"> en-US </w:instrText>
          </w:r>
          <w:r w:rsidR="001F1E47">
            <w:fldChar w:fldCharType="separate"/>
          </w:r>
          <w:r w:rsidR="001F1E47" w:rsidRPr="001F1E47">
            <w:rPr>
              <w:noProof/>
              <w:lang w:val="en-US"/>
            </w:rPr>
            <w:t>[13]</w:t>
          </w:r>
          <w:r w:rsidR="001F1E47">
            <w:fldChar w:fldCharType="end"/>
          </w:r>
        </w:sdtContent>
      </w:sdt>
      <w:sdt>
        <w:sdtPr>
          <w:id w:val="-1460102096"/>
          <w:citation/>
        </w:sdtPr>
        <w:sdtEndPr/>
        <w:sdtContent>
          <w:r w:rsidR="001F1E47">
            <w:fldChar w:fldCharType="begin"/>
          </w:r>
          <w:r w:rsidR="001F1E47">
            <w:rPr>
              <w:lang w:val="en-US"/>
            </w:rPr>
            <w:instrText xml:space="preserve"> CITATION Kol24 \l</w:instrText>
          </w:r>
          <w:r w:rsidR="00876E17">
            <w:rPr>
              <w:lang w:val="en-US"/>
            </w:rPr>
            <w:instrText xml:space="preserve"> en-US </w:instrText>
          </w:r>
          <w:r w:rsidR="001F1E47">
            <w:fldChar w:fldCharType="separate"/>
          </w:r>
          <w:r w:rsidR="001F1E47">
            <w:rPr>
              <w:noProof/>
              <w:lang w:val="en-US"/>
            </w:rPr>
            <w:t xml:space="preserve"> </w:t>
          </w:r>
          <w:r w:rsidR="001F1E47" w:rsidRPr="001F1E47">
            <w:rPr>
              <w:noProof/>
              <w:lang w:val="en-US"/>
            </w:rPr>
            <w:t>[14]</w:t>
          </w:r>
          <w:r w:rsidR="001F1E47">
            <w:fldChar w:fldCharType="end"/>
          </w:r>
        </w:sdtContent>
      </w:sdt>
      <w:sdt>
        <w:sdtPr>
          <w:id w:val="-328757706"/>
          <w:citation/>
        </w:sdtPr>
        <w:sdtEndPr/>
        <w:sdtContent>
          <w:r w:rsidR="001F1E47">
            <w:fldChar w:fldCharType="begin"/>
          </w:r>
          <w:r w:rsidR="001F1E47">
            <w:rPr>
              <w:lang w:val="en-US"/>
            </w:rPr>
            <w:instrText xml:space="preserve"> CITATION Kam24 \l</w:instrText>
          </w:r>
          <w:r w:rsidR="00876E17">
            <w:rPr>
              <w:lang w:val="en-US"/>
            </w:rPr>
            <w:instrText xml:space="preserve"> en-US </w:instrText>
          </w:r>
          <w:r w:rsidR="001F1E47">
            <w:fldChar w:fldCharType="separate"/>
          </w:r>
          <w:r w:rsidR="001F1E47">
            <w:rPr>
              <w:noProof/>
              <w:lang w:val="en-US"/>
            </w:rPr>
            <w:t xml:space="preserve"> </w:t>
          </w:r>
          <w:r w:rsidR="001F1E47" w:rsidRPr="001F1E47">
            <w:rPr>
              <w:noProof/>
              <w:lang w:val="en-US"/>
            </w:rPr>
            <w:t>[18]</w:t>
          </w:r>
          <w:r w:rsidR="001F1E47">
            <w:fldChar w:fldCharType="end"/>
          </w:r>
        </w:sdtContent>
      </w:sdt>
      <w:r>
        <w:t>.</w:t>
      </w:r>
    </w:p>
    <w:p w14:paraId="66739D0E" w14:textId="62115E00" w:rsidR="009303D9" w:rsidRPr="005B520E" w:rsidRDefault="001F358F" w:rsidP="00ED0149">
      <w:pPr>
        <w:pStyle w:val="Heading2"/>
      </w:pPr>
      <w:r w:rsidRPr="001F358F">
        <w:t>Human Factors, Trust, and User‑Centered Design</w:t>
      </w:r>
    </w:p>
    <w:p w14:paraId="01408E9B" w14:textId="5E2B1685" w:rsidR="00B04B28" w:rsidRDefault="00B04B28" w:rsidP="006E40DA">
      <w:pPr>
        <w:pStyle w:val="BodyText"/>
      </w:pPr>
      <w:r>
        <w:t xml:space="preserve">Human factors research emphasizes that many AI systems are developed with limited attention to ecological validity and clinician cognition, leading to usability and workflow problems </w:t>
      </w:r>
      <w:sdt>
        <w:sdtPr>
          <w:id w:val="-1404435100"/>
          <w:citation/>
        </w:sdtPr>
        <w:sdtEndPr/>
        <w:sdtContent>
          <w:r w:rsidR="0037372D">
            <w:fldChar w:fldCharType="begin"/>
          </w:r>
          <w:r w:rsidR="0037372D">
            <w:rPr>
              <w:lang w:val="en-US"/>
            </w:rPr>
            <w:instrText xml:space="preserve"> CITATION Asa21 \l</w:instrText>
          </w:r>
          <w:r w:rsidR="00876E17">
            <w:rPr>
              <w:lang w:val="en-US"/>
            </w:rPr>
            <w:instrText xml:space="preserve"> en-US </w:instrText>
          </w:r>
          <w:r w:rsidR="0037372D">
            <w:fldChar w:fldCharType="separate"/>
          </w:r>
          <w:r w:rsidR="0037372D" w:rsidRPr="0037372D">
            <w:rPr>
              <w:noProof/>
              <w:lang w:val="en-US"/>
            </w:rPr>
            <w:t>[19]</w:t>
          </w:r>
          <w:r w:rsidR="0037372D">
            <w:fldChar w:fldCharType="end"/>
          </w:r>
        </w:sdtContent>
      </w:sdt>
      <w:r>
        <w:t xml:space="preserve">. Mapping reviews indicate that most health‑AI studies focus on user perception, usability, workload, and trust, but few compare AI tools directly against clinical standards or embed them in real work systems </w:t>
      </w:r>
      <w:sdt>
        <w:sdtPr>
          <w:id w:val="-491803636"/>
          <w:citation/>
        </w:sdtPr>
        <w:sdtEndPr/>
        <w:sdtContent>
          <w:r w:rsidR="00A91540">
            <w:fldChar w:fldCharType="begin"/>
          </w:r>
          <w:r w:rsidR="00A91540">
            <w:rPr>
              <w:lang w:val="en-US"/>
            </w:rPr>
            <w:instrText xml:space="preserve"> CITATION Pat22 \l</w:instrText>
          </w:r>
          <w:r w:rsidR="00876E17">
            <w:rPr>
              <w:lang w:val="en-US"/>
            </w:rPr>
            <w:instrText xml:space="preserve"> en-US </w:instrText>
          </w:r>
          <w:r w:rsidR="00A91540">
            <w:fldChar w:fldCharType="separate"/>
          </w:r>
          <w:r w:rsidR="00A91540" w:rsidRPr="00A91540">
            <w:rPr>
              <w:noProof/>
              <w:lang w:val="en-US"/>
            </w:rPr>
            <w:t>[8]</w:t>
          </w:r>
          <w:r w:rsidR="00A91540">
            <w:fldChar w:fldCharType="end"/>
          </w:r>
        </w:sdtContent>
      </w:sdt>
      <w:r>
        <w:t>.</w:t>
      </w:r>
    </w:p>
    <w:p w14:paraId="622250BE" w14:textId="3A841A22" w:rsidR="00B04B28" w:rsidRDefault="00B04B28" w:rsidP="006E40DA">
      <w:pPr>
        <w:pStyle w:val="BodyText"/>
      </w:pPr>
      <w:r>
        <w:t xml:space="preserve">In mental health, clinicians’ trust, system transparency, and human‑in‑the‑loop oversight are repeatedly identified as preconditions for adoption </w:t>
      </w:r>
      <w:sdt>
        <w:sdtPr>
          <w:id w:val="-3677216"/>
          <w:citation/>
        </w:sdtPr>
        <w:sdtEndPr/>
        <w:sdtContent>
          <w:r w:rsidR="00B46DB8">
            <w:fldChar w:fldCharType="begin"/>
          </w:r>
          <w:r w:rsidR="00B46DB8">
            <w:rPr>
              <w:lang w:val="en-US"/>
            </w:rPr>
            <w:instrText xml:space="preserve"> CITATION Hig23 \l</w:instrText>
          </w:r>
          <w:r w:rsidR="00876E17">
            <w:rPr>
              <w:lang w:val="en-US"/>
            </w:rPr>
            <w:instrText xml:space="preserve"> en-US </w:instrText>
          </w:r>
          <w:r w:rsidR="00B46DB8">
            <w:fldChar w:fldCharType="separate"/>
          </w:r>
          <w:r w:rsidR="00B46DB8" w:rsidRPr="00B46DB8">
            <w:rPr>
              <w:noProof/>
              <w:lang w:val="en-US"/>
            </w:rPr>
            <w:t>[16]</w:t>
          </w:r>
          <w:r w:rsidR="00B46DB8">
            <w:fldChar w:fldCharType="end"/>
          </w:r>
        </w:sdtContent>
      </w:sdt>
      <w:sdt>
        <w:sdtPr>
          <w:id w:val="-1132171258"/>
          <w:citation/>
        </w:sdtPr>
        <w:sdtEndPr/>
        <w:sdtContent>
          <w:r w:rsidR="00B46DB8">
            <w:fldChar w:fldCharType="begin"/>
          </w:r>
          <w:r w:rsidR="00B46DB8">
            <w:rPr>
              <w:lang w:val="en-US"/>
            </w:rPr>
            <w:instrText xml:space="preserve"> CITATION Hig25 \l</w:instrText>
          </w:r>
          <w:r w:rsidR="00876E17">
            <w:rPr>
              <w:lang w:val="en-US"/>
            </w:rPr>
            <w:instrText xml:space="preserve"> en-US </w:instrText>
          </w:r>
          <w:r w:rsidR="00B46DB8">
            <w:fldChar w:fldCharType="separate"/>
          </w:r>
          <w:r w:rsidR="00B46DB8">
            <w:rPr>
              <w:noProof/>
              <w:lang w:val="en-US"/>
            </w:rPr>
            <w:t xml:space="preserve"> </w:t>
          </w:r>
          <w:r w:rsidR="00B46DB8" w:rsidRPr="00B46DB8">
            <w:rPr>
              <w:noProof/>
              <w:lang w:val="en-US"/>
            </w:rPr>
            <w:t>[11]</w:t>
          </w:r>
          <w:r w:rsidR="00B46DB8">
            <w:fldChar w:fldCharType="end"/>
          </w:r>
        </w:sdtContent>
      </w:sdt>
      <w:r>
        <w:t xml:space="preserve">. Multi‑stakeholder reviews of attitudes toward healthcare AI show generally positive views among patients, public, and professionals, yet persistent concerns over data privacy, reduced autonomy, algorithmic bias, and loss of empathy </w:t>
      </w:r>
      <w:sdt>
        <w:sdtPr>
          <w:id w:val="-940845163"/>
          <w:citation/>
        </w:sdtPr>
        <w:sdtEndPr/>
        <w:sdtContent>
          <w:r w:rsidR="00B46DB8">
            <w:fldChar w:fldCharType="begin"/>
          </w:r>
          <w:r w:rsidR="00B46DB8">
            <w:rPr>
              <w:lang w:val="en-US"/>
            </w:rPr>
            <w:instrText xml:space="preserve"> CITATION VoV23 \l</w:instrText>
          </w:r>
          <w:r w:rsidR="00876E17">
            <w:rPr>
              <w:lang w:val="en-US"/>
            </w:rPr>
            <w:instrText xml:space="preserve"> en-US </w:instrText>
          </w:r>
          <w:r w:rsidR="00B46DB8">
            <w:fldChar w:fldCharType="separate"/>
          </w:r>
          <w:r w:rsidR="00B46DB8" w:rsidRPr="00B46DB8">
            <w:rPr>
              <w:noProof/>
              <w:lang w:val="en-US"/>
            </w:rPr>
            <w:t>[20]</w:t>
          </w:r>
          <w:r w:rsidR="00B46DB8">
            <w:fldChar w:fldCharType="end"/>
          </w:r>
        </w:sdtContent>
      </w:sdt>
      <w:r>
        <w:t xml:space="preserve">. Stakeholders consistently call for explainability, validation, and clinician and patient involvement throughout development and implementation </w:t>
      </w:r>
      <w:sdt>
        <w:sdtPr>
          <w:id w:val="980509262"/>
          <w:citation/>
        </w:sdtPr>
        <w:sdtEndPr/>
        <w:sdtContent>
          <w:r w:rsidR="00B46DB8">
            <w:fldChar w:fldCharType="begin"/>
          </w:r>
          <w:r w:rsidR="00B46DB8">
            <w:rPr>
              <w:lang w:val="en-US"/>
            </w:rPr>
            <w:instrText xml:space="preserve"> CITATION Hig23 \l</w:instrText>
          </w:r>
          <w:r w:rsidR="00876E17">
            <w:rPr>
              <w:lang w:val="en-US"/>
            </w:rPr>
            <w:instrText xml:space="preserve"> en-US </w:instrText>
          </w:r>
          <w:r w:rsidR="00B46DB8">
            <w:fldChar w:fldCharType="separate"/>
          </w:r>
          <w:r w:rsidR="00B46DB8" w:rsidRPr="00B46DB8">
            <w:rPr>
              <w:noProof/>
              <w:lang w:val="en-US"/>
            </w:rPr>
            <w:t>[16]</w:t>
          </w:r>
          <w:r w:rsidR="00B46DB8">
            <w:fldChar w:fldCharType="end"/>
          </w:r>
        </w:sdtContent>
      </w:sdt>
      <w:sdt>
        <w:sdtPr>
          <w:id w:val="1053660780"/>
          <w:citation/>
        </w:sdtPr>
        <w:sdtEndPr/>
        <w:sdtContent>
          <w:r w:rsidR="00B46DB8">
            <w:fldChar w:fldCharType="begin"/>
          </w:r>
          <w:r w:rsidR="00B46DB8">
            <w:rPr>
              <w:lang w:val="en-US"/>
            </w:rPr>
            <w:instrText xml:space="preserve"> CITATION Kam24 \l</w:instrText>
          </w:r>
          <w:r w:rsidR="00876E17">
            <w:rPr>
              <w:lang w:val="en-US"/>
            </w:rPr>
            <w:instrText xml:space="preserve"> en-US </w:instrText>
          </w:r>
          <w:r w:rsidR="00B46DB8">
            <w:fldChar w:fldCharType="separate"/>
          </w:r>
          <w:r w:rsidR="00B46DB8">
            <w:rPr>
              <w:noProof/>
              <w:lang w:val="en-US"/>
            </w:rPr>
            <w:t xml:space="preserve"> </w:t>
          </w:r>
          <w:r w:rsidR="00B46DB8" w:rsidRPr="00B46DB8">
            <w:rPr>
              <w:noProof/>
              <w:lang w:val="en-US"/>
            </w:rPr>
            <w:t>[18]</w:t>
          </w:r>
          <w:r w:rsidR="00B46DB8">
            <w:fldChar w:fldCharType="end"/>
          </w:r>
        </w:sdtContent>
      </w:sdt>
      <w:r>
        <w:t>.</w:t>
      </w:r>
    </w:p>
    <w:p w14:paraId="7C5D0763" w14:textId="7EB0F6A8" w:rsidR="009303D9" w:rsidRDefault="00B04B28" w:rsidP="006F0B64">
      <w:pPr>
        <w:pStyle w:val="BodyText"/>
      </w:pPr>
      <w:r>
        <w:t>These findings imply that any AI platform supporting learning disorders must include user‑centered interface design, explainable models, and explicit mechanisms for clinician override and feedback.</w:t>
      </w:r>
    </w:p>
    <w:p w14:paraId="5AD119CA" w14:textId="4DDC6E30" w:rsidR="00CD2AFF" w:rsidRPr="005B520E" w:rsidRDefault="00CD2AFF" w:rsidP="00CD2AFF">
      <w:pPr>
        <w:pStyle w:val="Heading2"/>
      </w:pPr>
      <w:r w:rsidRPr="00CD2AFF">
        <w:t>Ethical, Legal, and Regulatory Considerations</w:t>
      </w:r>
    </w:p>
    <w:p w14:paraId="19E565AF" w14:textId="2F789AF6" w:rsidR="006B668C" w:rsidRDefault="006B668C" w:rsidP="006B668C">
      <w:pPr>
        <w:pStyle w:val="BodyText"/>
      </w:pPr>
      <w:r>
        <w:t xml:space="preserve">Narrative and systematic reviews highlight substantial ethical and regulatory challenges in deploying AI in clinical care </w:t>
      </w:r>
      <w:sdt>
        <w:sdtPr>
          <w:id w:val="1817223509"/>
          <w:citation/>
        </w:sdtPr>
        <w:sdtEndPr/>
        <w:sdtContent>
          <w:r w:rsidR="00415F36">
            <w:fldChar w:fldCharType="begin"/>
          </w:r>
          <w:r w:rsidR="00415F36">
            <w:rPr>
              <w:lang w:val="en-US"/>
            </w:rPr>
            <w:instrText xml:space="preserve"> CITATION Men24 \l</w:instrText>
          </w:r>
          <w:r w:rsidR="008150F2">
            <w:rPr>
              <w:lang w:val="en-US"/>
            </w:rPr>
            <w:instrText xml:space="preserve"> en-US </w:instrText>
          </w:r>
          <w:r w:rsidR="00415F36">
            <w:fldChar w:fldCharType="separate"/>
          </w:r>
          <w:r w:rsidR="00415F36" w:rsidRPr="00415F36">
            <w:rPr>
              <w:noProof/>
              <w:lang w:val="en-US"/>
            </w:rPr>
            <w:t>[21]</w:t>
          </w:r>
          <w:r w:rsidR="00415F36">
            <w:fldChar w:fldCharType="end"/>
          </w:r>
        </w:sdtContent>
      </w:sdt>
      <w:sdt>
        <w:sdtPr>
          <w:id w:val="771054275"/>
          <w:citation/>
        </w:sdtPr>
        <w:sdtEndPr/>
        <w:sdtContent>
          <w:r w:rsidR="00DB5D1A">
            <w:fldChar w:fldCharType="begin"/>
          </w:r>
          <w:r w:rsidR="00DB5D1A">
            <w:rPr>
              <w:lang w:val="en-US"/>
            </w:rPr>
            <w:instrText xml:space="preserve"> CITATION Nai24 \l</w:instrText>
          </w:r>
          <w:r w:rsidR="008150F2">
            <w:rPr>
              <w:lang w:val="en-US"/>
            </w:rPr>
            <w:instrText xml:space="preserve"> en-US </w:instrText>
          </w:r>
          <w:r w:rsidR="00DB5D1A">
            <w:fldChar w:fldCharType="separate"/>
          </w:r>
          <w:r w:rsidR="00DB5D1A">
            <w:rPr>
              <w:noProof/>
              <w:lang w:val="en-US"/>
            </w:rPr>
            <w:t xml:space="preserve"> </w:t>
          </w:r>
          <w:r w:rsidR="00DB5D1A" w:rsidRPr="00DB5D1A">
            <w:rPr>
              <w:noProof/>
              <w:lang w:val="en-US"/>
            </w:rPr>
            <w:t>[22]</w:t>
          </w:r>
          <w:r w:rsidR="00DB5D1A">
            <w:fldChar w:fldCharType="end"/>
          </w:r>
        </w:sdtContent>
      </w:sdt>
      <w:r>
        <w:t xml:space="preserve">. </w:t>
      </w:r>
    </w:p>
    <w:p w14:paraId="4869DB07" w14:textId="0EF2F673" w:rsidR="006B668C" w:rsidRDefault="006B668C" w:rsidP="006B668C">
      <w:pPr>
        <w:pStyle w:val="BodyText"/>
      </w:pPr>
      <w:r>
        <w:t>Key issues include:</w:t>
      </w:r>
    </w:p>
    <w:p w14:paraId="46196996" w14:textId="77777777" w:rsidR="006B668C" w:rsidRDefault="006B668C" w:rsidP="006B668C">
      <w:pPr>
        <w:pStyle w:val="BodyText"/>
        <w:numPr>
          <w:ilvl w:val="0"/>
          <w:numId w:val="26"/>
        </w:numPr>
      </w:pPr>
      <w:r>
        <w:t>Data privacy and sovereignty under frameworks like HIPAA and GDPR.</w:t>
      </w:r>
    </w:p>
    <w:p w14:paraId="3C963460" w14:textId="77777777" w:rsidR="006B668C" w:rsidRDefault="006B668C" w:rsidP="006B668C">
      <w:pPr>
        <w:pStyle w:val="BodyText"/>
        <w:numPr>
          <w:ilvl w:val="0"/>
          <w:numId w:val="26"/>
        </w:numPr>
      </w:pPr>
      <w:r>
        <w:t>Algorithmic bias and inequity, especially for vulnerable or under‑represented groups.</w:t>
      </w:r>
    </w:p>
    <w:p w14:paraId="4230AB01" w14:textId="77777777" w:rsidR="006B668C" w:rsidRDefault="006B668C" w:rsidP="006B668C">
      <w:pPr>
        <w:pStyle w:val="BodyText"/>
        <w:numPr>
          <w:ilvl w:val="0"/>
          <w:numId w:val="26"/>
        </w:numPr>
      </w:pPr>
      <w:r>
        <w:t>Ambiguous liability and accountability for adverse events involving AI.</w:t>
      </w:r>
    </w:p>
    <w:p w14:paraId="425A058A" w14:textId="1639DB4D" w:rsidR="006B668C" w:rsidRDefault="006B668C" w:rsidP="006B668C">
      <w:pPr>
        <w:pStyle w:val="BodyText"/>
        <w:numPr>
          <w:ilvl w:val="0"/>
          <w:numId w:val="26"/>
        </w:numPr>
      </w:pPr>
      <w:r>
        <w:t>Need for robust governance, auditability, and lifecycle monitoring of models</w:t>
      </w:r>
      <w:r w:rsidR="0042514D">
        <w:rPr>
          <w:lang w:val="en-US"/>
        </w:rPr>
        <w:t xml:space="preserve"> </w:t>
      </w:r>
      <w:sdt>
        <w:sdtPr>
          <w:rPr>
            <w:lang w:val="en-US"/>
          </w:rPr>
          <w:id w:val="-687443649"/>
          <w:citation/>
        </w:sdtPr>
        <w:sdtEndPr/>
        <w:sdtContent>
          <w:r w:rsidR="00125497">
            <w:rPr>
              <w:lang w:val="en-US"/>
            </w:rPr>
            <w:fldChar w:fldCharType="begin"/>
          </w:r>
          <w:r w:rsidR="00125497">
            <w:rPr>
              <w:lang w:val="en-US"/>
            </w:rPr>
            <w:instrText xml:space="preserve"> CITATION Fie \l</w:instrText>
          </w:r>
          <w:r w:rsidR="008150F2">
            <w:rPr>
              <w:lang w:val="en-US"/>
            </w:rPr>
            <w:instrText xml:space="preserve"> en-US </w:instrText>
          </w:r>
          <w:r w:rsidR="00125497">
            <w:rPr>
              <w:lang w:val="en-US"/>
            </w:rPr>
            <w:fldChar w:fldCharType="separate"/>
          </w:r>
          <w:r w:rsidR="00125497" w:rsidRPr="00125497">
            <w:rPr>
              <w:noProof/>
              <w:lang w:val="en-US"/>
            </w:rPr>
            <w:t>[2]</w:t>
          </w:r>
          <w:r w:rsidR="00125497">
            <w:rPr>
              <w:lang w:val="en-US"/>
            </w:rPr>
            <w:fldChar w:fldCharType="end"/>
          </w:r>
        </w:sdtContent>
      </w:sdt>
      <w:sdt>
        <w:sdtPr>
          <w:rPr>
            <w:lang w:val="en-US"/>
          </w:rPr>
          <w:id w:val="865947758"/>
          <w:citation/>
        </w:sdtPr>
        <w:sdtEndPr/>
        <w:sdtContent>
          <w:r w:rsidR="00125497">
            <w:rPr>
              <w:lang w:val="en-US"/>
            </w:rPr>
            <w:fldChar w:fldCharType="begin"/>
          </w:r>
          <w:r w:rsidR="00125497">
            <w:rPr>
              <w:lang w:val="en-US"/>
            </w:rPr>
            <w:instrText xml:space="preserve"> CITATION Nai24 \l</w:instrText>
          </w:r>
          <w:r w:rsidR="008150F2">
            <w:rPr>
              <w:lang w:val="en-US"/>
            </w:rPr>
            <w:instrText xml:space="preserve"> en-US </w:instrText>
          </w:r>
          <w:r w:rsidR="00125497">
            <w:rPr>
              <w:lang w:val="en-US"/>
            </w:rPr>
            <w:fldChar w:fldCharType="separate"/>
          </w:r>
          <w:r w:rsidR="00125497">
            <w:rPr>
              <w:noProof/>
              <w:lang w:val="en-US"/>
            </w:rPr>
            <w:t xml:space="preserve"> </w:t>
          </w:r>
          <w:r w:rsidR="00125497" w:rsidRPr="00125497">
            <w:rPr>
              <w:noProof/>
              <w:lang w:val="en-US"/>
            </w:rPr>
            <w:t>[22]</w:t>
          </w:r>
          <w:r w:rsidR="00125497">
            <w:rPr>
              <w:lang w:val="en-US"/>
            </w:rPr>
            <w:fldChar w:fldCharType="end"/>
          </w:r>
        </w:sdtContent>
      </w:sdt>
      <w:sdt>
        <w:sdtPr>
          <w:rPr>
            <w:lang w:val="en-US"/>
          </w:rPr>
          <w:id w:val="778528261"/>
          <w:citation/>
        </w:sdtPr>
        <w:sdtEndPr/>
        <w:sdtContent>
          <w:r w:rsidR="00125497">
            <w:rPr>
              <w:lang w:val="en-US"/>
            </w:rPr>
            <w:fldChar w:fldCharType="begin"/>
          </w:r>
          <w:r w:rsidR="00125497">
            <w:rPr>
              <w:lang w:val="en-US"/>
            </w:rPr>
            <w:instrText xml:space="preserve"> CITATION VoV23 \l</w:instrText>
          </w:r>
          <w:r w:rsidR="008150F2">
            <w:rPr>
              <w:lang w:val="en-US"/>
            </w:rPr>
            <w:instrText xml:space="preserve"> en-US </w:instrText>
          </w:r>
          <w:r w:rsidR="00125497">
            <w:rPr>
              <w:lang w:val="en-US"/>
            </w:rPr>
            <w:fldChar w:fldCharType="separate"/>
          </w:r>
          <w:r w:rsidR="00125497">
            <w:rPr>
              <w:noProof/>
              <w:lang w:val="en-US"/>
            </w:rPr>
            <w:t xml:space="preserve"> </w:t>
          </w:r>
          <w:r w:rsidR="00125497" w:rsidRPr="00125497">
            <w:rPr>
              <w:noProof/>
              <w:lang w:val="en-US"/>
            </w:rPr>
            <w:t>[20]</w:t>
          </w:r>
          <w:r w:rsidR="00125497">
            <w:rPr>
              <w:lang w:val="en-US"/>
            </w:rPr>
            <w:fldChar w:fldCharType="end"/>
          </w:r>
        </w:sdtContent>
      </w:sdt>
      <w:r>
        <w:t>.</w:t>
      </w:r>
    </w:p>
    <w:p w14:paraId="2040C205" w14:textId="3D7DDA31" w:rsidR="00CD2AFF" w:rsidRDefault="006B668C" w:rsidP="006B668C">
      <w:pPr>
        <w:pStyle w:val="BodyText"/>
      </w:pPr>
      <w:r>
        <w:t xml:space="preserve">Recent work stresses that governance must move beyond algorithm design to cover contracts, risk allocation, and compliance processes, particularly when integrating AI into complex sociotechnical systems such as hospitals and cross‑organizational platforms </w:t>
      </w:r>
      <w:sdt>
        <w:sdtPr>
          <w:id w:val="1478957458"/>
          <w:citation/>
        </w:sdtPr>
        <w:sdtEndPr/>
        <w:sdtContent>
          <w:r w:rsidR="00F95E7A">
            <w:fldChar w:fldCharType="begin"/>
          </w:r>
          <w:r w:rsidR="00F95E7A">
            <w:rPr>
              <w:lang w:val="en-US"/>
            </w:rPr>
            <w:instrText xml:space="preserve"> CITATION Fie \l</w:instrText>
          </w:r>
          <w:r w:rsidR="008150F2">
            <w:rPr>
              <w:lang w:val="en-US"/>
            </w:rPr>
            <w:instrText xml:space="preserve"> en-US </w:instrText>
          </w:r>
          <w:r w:rsidR="00F95E7A">
            <w:fldChar w:fldCharType="separate"/>
          </w:r>
          <w:r w:rsidR="00F95E7A" w:rsidRPr="00F95E7A">
            <w:rPr>
              <w:noProof/>
              <w:lang w:val="en-US"/>
            </w:rPr>
            <w:t>[2]</w:t>
          </w:r>
          <w:r w:rsidR="00F95E7A">
            <w:fldChar w:fldCharType="end"/>
          </w:r>
        </w:sdtContent>
      </w:sdt>
      <w:sdt>
        <w:sdtPr>
          <w:id w:val="-648591348"/>
          <w:citation/>
        </w:sdtPr>
        <w:sdtEndPr/>
        <w:sdtContent>
          <w:r w:rsidR="00F95E7A">
            <w:fldChar w:fldCharType="begin"/>
          </w:r>
          <w:r w:rsidR="00F95E7A">
            <w:rPr>
              <w:lang w:val="en-US"/>
            </w:rPr>
            <w:instrText xml:space="preserve"> CITATION Nai24 \l</w:instrText>
          </w:r>
          <w:r w:rsidR="008150F2">
            <w:rPr>
              <w:lang w:val="en-US"/>
            </w:rPr>
            <w:instrText xml:space="preserve"> en-US </w:instrText>
          </w:r>
          <w:r w:rsidR="00F95E7A">
            <w:fldChar w:fldCharType="separate"/>
          </w:r>
          <w:r w:rsidR="00F95E7A">
            <w:rPr>
              <w:noProof/>
              <w:lang w:val="en-US"/>
            </w:rPr>
            <w:t xml:space="preserve"> </w:t>
          </w:r>
          <w:r w:rsidR="00F95E7A" w:rsidRPr="00F95E7A">
            <w:rPr>
              <w:noProof/>
              <w:lang w:val="en-US"/>
            </w:rPr>
            <w:t>[22]</w:t>
          </w:r>
          <w:r w:rsidR="00F95E7A">
            <w:fldChar w:fldCharType="end"/>
          </w:r>
        </w:sdtContent>
      </w:sdt>
      <w:sdt>
        <w:sdtPr>
          <w:id w:val="467167825"/>
          <w:citation/>
        </w:sdtPr>
        <w:sdtEndPr/>
        <w:sdtContent>
          <w:r w:rsidR="00F95E7A">
            <w:fldChar w:fldCharType="begin"/>
          </w:r>
          <w:r w:rsidR="00F95E7A">
            <w:rPr>
              <w:lang w:val="en-US"/>
            </w:rPr>
            <w:instrText xml:space="preserve"> CITATION Kam24 \l</w:instrText>
          </w:r>
          <w:r w:rsidR="008150F2">
            <w:rPr>
              <w:lang w:val="en-US"/>
            </w:rPr>
            <w:instrText xml:space="preserve"> en-US </w:instrText>
          </w:r>
          <w:r w:rsidR="00F95E7A">
            <w:fldChar w:fldCharType="separate"/>
          </w:r>
          <w:r w:rsidR="00F95E7A">
            <w:rPr>
              <w:noProof/>
              <w:lang w:val="en-US"/>
            </w:rPr>
            <w:t xml:space="preserve"> </w:t>
          </w:r>
          <w:r w:rsidR="00F95E7A" w:rsidRPr="00F95E7A">
            <w:rPr>
              <w:noProof/>
              <w:lang w:val="en-US"/>
            </w:rPr>
            <w:t>[18]</w:t>
          </w:r>
          <w:r w:rsidR="00F95E7A">
            <w:fldChar w:fldCharType="end"/>
          </w:r>
        </w:sdtContent>
      </w:sdt>
      <w:r>
        <w:t>. This directly motivates architectures with granular consent, role‑based access control, and traceable decision logging for a healthcare–HR integration use case.</w:t>
      </w:r>
    </w:p>
    <w:p w14:paraId="22605BBE" w14:textId="541EE0D2" w:rsidR="00B3273E" w:rsidRDefault="00B3273E" w:rsidP="00B3273E">
      <w:pPr>
        <w:pStyle w:val="Heading2"/>
      </w:pPr>
      <w:r w:rsidRPr="00B3273E">
        <w:t>Distributed Architectures, Data Sharing, and Federated Learning</w:t>
      </w:r>
    </w:p>
    <w:p w14:paraId="6AAFBE5C" w14:textId="7DED5708" w:rsidR="00400E3D" w:rsidRDefault="00400E3D" w:rsidP="00400E3D">
      <w:pPr>
        <w:jc w:val="both"/>
      </w:pPr>
      <w:r>
        <w:t xml:space="preserve">Access to diverse, high‑quality data is critical for performant AI models but is constrained by privacy and interoperability issues </w:t>
      </w:r>
      <w:sdt>
        <w:sdtPr>
          <w:id w:val="908811912"/>
          <w:citation/>
        </w:sdtPr>
        <w:sdtEndPr/>
        <w:sdtContent>
          <w:r w:rsidR="00D44DF7">
            <w:fldChar w:fldCharType="begin"/>
          </w:r>
          <w:r w:rsidR="00D44DF7">
            <w:instrText xml:space="preserve"> CITATION Ali22 \l</w:instrText>
          </w:r>
          <w:r w:rsidR="008150F2">
            <w:instrText xml:space="preserve"> en-US </w:instrText>
          </w:r>
          <w:r w:rsidR="00D44DF7">
            <w:fldChar w:fldCharType="separate"/>
          </w:r>
          <w:r w:rsidR="00D44DF7" w:rsidRPr="00D44DF7">
            <w:rPr>
              <w:noProof/>
            </w:rPr>
            <w:t>[4]</w:t>
          </w:r>
          <w:r w:rsidR="00D44DF7">
            <w:fldChar w:fldCharType="end"/>
          </w:r>
        </w:sdtContent>
      </w:sdt>
      <w:sdt>
        <w:sdtPr>
          <w:id w:val="1070071224"/>
          <w:citation/>
        </w:sdtPr>
        <w:sdtEndPr/>
        <w:sdtContent>
          <w:r w:rsidR="00D44DF7">
            <w:fldChar w:fldCharType="begin"/>
          </w:r>
          <w:r w:rsidR="00D44DF7">
            <w:instrText xml:space="preserve"> CITATION Ami24 \l</w:instrText>
          </w:r>
          <w:r w:rsidR="008150F2">
            <w:instrText xml:space="preserve"> en-US </w:instrText>
          </w:r>
          <w:r w:rsidR="00D44DF7">
            <w:fldChar w:fldCharType="separate"/>
          </w:r>
          <w:r w:rsidR="00D44DF7">
            <w:rPr>
              <w:noProof/>
            </w:rPr>
            <w:t xml:space="preserve"> </w:t>
          </w:r>
          <w:r w:rsidR="00D44DF7" w:rsidRPr="00D44DF7">
            <w:rPr>
              <w:noProof/>
            </w:rPr>
            <w:t>[15]</w:t>
          </w:r>
          <w:r w:rsidR="00D44DF7">
            <w:fldChar w:fldCharType="end"/>
          </w:r>
        </w:sdtContent>
      </w:sdt>
      <w:r>
        <w:t xml:space="preserve">. Federated learning (FL) has emerged as a promising paradigm for training machine learning models across distributed EHRs without centralizing raw data, aligning with regulatory and trust requirements </w:t>
      </w:r>
      <w:sdt>
        <w:sdtPr>
          <w:id w:val="1413277557"/>
          <w:citation/>
        </w:sdtPr>
        <w:sdtEndPr/>
        <w:sdtContent>
          <w:r w:rsidR="00BD2377">
            <w:fldChar w:fldCharType="begin"/>
          </w:r>
          <w:r w:rsidR="00BD2377">
            <w:instrText xml:space="preserve"> CITATION Abb24 \l</w:instrText>
          </w:r>
          <w:r w:rsidR="008150F2">
            <w:instrText xml:space="preserve"> en-US </w:instrText>
          </w:r>
          <w:r w:rsidR="00BD2377">
            <w:fldChar w:fldCharType="separate"/>
          </w:r>
          <w:r w:rsidR="00BD2377" w:rsidRPr="00BD2377">
            <w:rPr>
              <w:noProof/>
            </w:rPr>
            <w:t>[7]</w:t>
          </w:r>
          <w:r w:rsidR="00BD2377">
            <w:fldChar w:fldCharType="end"/>
          </w:r>
        </w:sdtContent>
      </w:sdt>
      <w:r>
        <w:t xml:space="preserve">. Systematic reviews of FL in healthcare show extensive methodological work on secure aggregation, communication </w:t>
      </w:r>
      <w:r>
        <w:lastRenderedPageBreak/>
        <w:t xml:space="preserve">efficiency, and privacy protection, but only a small fraction of studies report real‑world clinical deployments </w:t>
      </w:r>
      <w:sdt>
        <w:sdtPr>
          <w:id w:val="-560323733"/>
          <w:citation/>
        </w:sdtPr>
        <w:sdtEndPr/>
        <w:sdtContent>
          <w:r w:rsidR="008D48E1">
            <w:fldChar w:fldCharType="begin"/>
          </w:r>
          <w:r w:rsidR="008D48E1">
            <w:instrText xml:space="preserve"> CITATION Ali22 \l</w:instrText>
          </w:r>
          <w:r w:rsidR="008150F2">
            <w:instrText xml:space="preserve"> en-US </w:instrText>
          </w:r>
          <w:r w:rsidR="008D48E1">
            <w:fldChar w:fldCharType="separate"/>
          </w:r>
          <w:r w:rsidR="008D48E1" w:rsidRPr="008D48E1">
            <w:rPr>
              <w:noProof/>
            </w:rPr>
            <w:t>[4]</w:t>
          </w:r>
          <w:r w:rsidR="008D48E1">
            <w:fldChar w:fldCharType="end"/>
          </w:r>
        </w:sdtContent>
      </w:sdt>
      <w:sdt>
        <w:sdtPr>
          <w:id w:val="121971939"/>
          <w:citation/>
        </w:sdtPr>
        <w:sdtEndPr/>
        <w:sdtContent>
          <w:r w:rsidR="008D48E1">
            <w:fldChar w:fldCharType="begin"/>
          </w:r>
          <w:r w:rsidR="008D48E1">
            <w:instrText xml:space="preserve"> CITATION Abb24 \l</w:instrText>
          </w:r>
          <w:r w:rsidR="008150F2">
            <w:instrText xml:space="preserve"> en-US </w:instrText>
          </w:r>
          <w:r w:rsidR="008D48E1">
            <w:fldChar w:fldCharType="separate"/>
          </w:r>
          <w:r w:rsidR="008D48E1">
            <w:rPr>
              <w:noProof/>
            </w:rPr>
            <w:t xml:space="preserve"> </w:t>
          </w:r>
          <w:r w:rsidR="008D48E1" w:rsidRPr="008D48E1">
            <w:rPr>
              <w:noProof/>
            </w:rPr>
            <w:t>[7]</w:t>
          </w:r>
          <w:r w:rsidR="008D48E1">
            <w:fldChar w:fldCharType="end"/>
          </w:r>
        </w:sdtContent>
      </w:sdt>
      <w:r>
        <w:t>.</w:t>
      </w:r>
    </w:p>
    <w:p w14:paraId="7326C881" w14:textId="77777777" w:rsidR="00400E3D" w:rsidRDefault="00400E3D" w:rsidP="00400E3D">
      <w:pPr>
        <w:jc w:val="both"/>
      </w:pPr>
    </w:p>
    <w:p w14:paraId="3FA3BE7E" w14:textId="0C0C7DBF" w:rsidR="00B3273E" w:rsidRPr="00B3273E" w:rsidRDefault="00400E3D" w:rsidP="00400E3D">
      <w:pPr>
        <w:jc w:val="both"/>
      </w:pPr>
      <w:r>
        <w:t xml:space="preserve">Reviews of AI, distributed systems, and Internet‑of‑Things in healthcare highlight that distributed architectures are widely used for disease diagnosis and monitoring, with accuracy as the dominant performance metric, but operational aspects (governance, integration, maintainability) are less mature </w:t>
      </w:r>
      <w:sdt>
        <w:sdtPr>
          <w:id w:val="1870178773"/>
          <w:citation/>
        </w:sdtPr>
        <w:sdtEndPr/>
        <w:sdtContent>
          <w:r w:rsidR="004C4BDA">
            <w:fldChar w:fldCharType="begin"/>
          </w:r>
          <w:r w:rsidR="004C4BDA">
            <w:instrText xml:space="preserve"> CITATION Ami24 \l</w:instrText>
          </w:r>
          <w:r w:rsidR="008150F2">
            <w:instrText xml:space="preserve"> en-US </w:instrText>
          </w:r>
          <w:r w:rsidR="004C4BDA">
            <w:fldChar w:fldCharType="separate"/>
          </w:r>
          <w:r w:rsidR="004C4BDA" w:rsidRPr="004C4BDA">
            <w:rPr>
              <w:noProof/>
            </w:rPr>
            <w:t>[15]</w:t>
          </w:r>
          <w:r w:rsidR="004C4BDA">
            <w:fldChar w:fldCharType="end"/>
          </w:r>
        </w:sdtContent>
      </w:sdt>
      <w:r>
        <w:t>. For a microservices‑based platform that bridges healthcare and HR, this literature suggests using privacy‑preserving, distributed learning and clear data‑governance boundaries between organizations.</w:t>
      </w:r>
    </w:p>
    <w:p w14:paraId="6676DDC0" w14:textId="24CD98F0" w:rsidR="00B3273E" w:rsidRDefault="00B3273E" w:rsidP="006874BF">
      <w:pPr>
        <w:pStyle w:val="BodyText"/>
        <w:ind w:firstLine="0pt"/>
      </w:pPr>
    </w:p>
    <w:p w14:paraId="50E469AE" w14:textId="797D1D3F" w:rsidR="006874BF" w:rsidRDefault="006874BF" w:rsidP="006874BF">
      <w:pPr>
        <w:pStyle w:val="Heading2"/>
      </w:pPr>
      <w:r w:rsidRPr="006874BF">
        <w:t>Implementation Barriers, Enablers, and Learning Health Systems</w:t>
      </w:r>
    </w:p>
    <w:p w14:paraId="165CBF03" w14:textId="4E5B3A28" w:rsidR="00B872C0" w:rsidRDefault="00B872C0" w:rsidP="00B872C0">
      <w:pPr>
        <w:jc w:val="both"/>
      </w:pPr>
      <w:r>
        <w:t xml:space="preserve">Even when technical performance is strong, implementation of AI into routine clinical workflows is difficult. Mixed‑methods reviews identify barriers across planning, implementation, and sustaining phases, including leadership gaps, lack of buy‑in, misaligned workflows, insufficient training, unclear legal liability, data‑quality problems, and limited evaluation and monitoring </w:t>
      </w:r>
      <w:sdt>
        <w:sdtPr>
          <w:id w:val="-245116732"/>
          <w:citation/>
        </w:sdtPr>
        <w:sdtEndPr/>
        <w:sdtContent>
          <w:r w:rsidR="00305E13">
            <w:fldChar w:fldCharType="begin"/>
          </w:r>
          <w:r w:rsidR="00305E13">
            <w:instrText xml:space="preserve"> CITATION Nai24 \l</w:instrText>
          </w:r>
          <w:r w:rsidR="008150F2">
            <w:instrText xml:space="preserve"> en-US </w:instrText>
          </w:r>
          <w:r w:rsidR="00305E13">
            <w:fldChar w:fldCharType="separate"/>
          </w:r>
          <w:r w:rsidR="00305E13" w:rsidRPr="00305E13">
            <w:rPr>
              <w:noProof/>
            </w:rPr>
            <w:t>[22]</w:t>
          </w:r>
          <w:r w:rsidR="00305E13">
            <w:fldChar w:fldCharType="end"/>
          </w:r>
        </w:sdtContent>
      </w:sdt>
      <w:sdt>
        <w:sdtPr>
          <w:id w:val="-747107935"/>
          <w:citation/>
        </w:sdtPr>
        <w:sdtEndPr/>
        <w:sdtContent>
          <w:r w:rsidR="00305E13">
            <w:fldChar w:fldCharType="begin"/>
          </w:r>
          <w:r w:rsidR="00305E13">
            <w:instrText xml:space="preserve"> CITATION Kam24 \l</w:instrText>
          </w:r>
          <w:r w:rsidR="008150F2">
            <w:instrText xml:space="preserve"> en-US </w:instrText>
          </w:r>
          <w:r w:rsidR="00305E13">
            <w:fldChar w:fldCharType="separate"/>
          </w:r>
          <w:r w:rsidR="00305E13">
            <w:rPr>
              <w:noProof/>
            </w:rPr>
            <w:t xml:space="preserve"> </w:t>
          </w:r>
          <w:r w:rsidR="00305E13" w:rsidRPr="00305E13">
            <w:rPr>
              <w:noProof/>
            </w:rPr>
            <w:t>[18]</w:t>
          </w:r>
          <w:r w:rsidR="00305E13">
            <w:fldChar w:fldCharType="end"/>
          </w:r>
        </w:sdtContent>
      </w:sdt>
      <w:r>
        <w:t xml:space="preserve">. Enablers include strong leadership, change management, stakeholder engagement, iterative evaluation, and integration into existing IT infrastructure and work routines </w:t>
      </w:r>
      <w:sdt>
        <w:sdtPr>
          <w:id w:val="-825441575"/>
          <w:citation/>
        </w:sdtPr>
        <w:sdtEndPr/>
        <w:sdtContent>
          <w:r w:rsidR="00305E13">
            <w:fldChar w:fldCharType="begin"/>
          </w:r>
          <w:r w:rsidR="00305E13">
            <w:instrText xml:space="preserve"> CITATION Nai24 \l</w:instrText>
          </w:r>
          <w:r w:rsidR="008150F2">
            <w:instrText xml:space="preserve"> en-US </w:instrText>
          </w:r>
          <w:r w:rsidR="00305E13">
            <w:fldChar w:fldCharType="separate"/>
          </w:r>
          <w:r w:rsidR="00305E13" w:rsidRPr="00305E13">
            <w:rPr>
              <w:noProof/>
            </w:rPr>
            <w:t>[22]</w:t>
          </w:r>
          <w:r w:rsidR="00305E13">
            <w:fldChar w:fldCharType="end"/>
          </w:r>
        </w:sdtContent>
      </w:sdt>
      <w:sdt>
        <w:sdtPr>
          <w:id w:val="-160465772"/>
          <w:citation/>
        </w:sdtPr>
        <w:sdtEndPr/>
        <w:sdtContent>
          <w:r w:rsidR="00305E13">
            <w:fldChar w:fldCharType="begin"/>
          </w:r>
          <w:r w:rsidR="00305E13">
            <w:instrText xml:space="preserve"> CITATION Kam24 \l</w:instrText>
          </w:r>
          <w:r w:rsidR="008150F2">
            <w:instrText xml:space="preserve"> en-US </w:instrText>
          </w:r>
          <w:r w:rsidR="00305E13">
            <w:fldChar w:fldCharType="separate"/>
          </w:r>
          <w:r w:rsidR="00305E13">
            <w:rPr>
              <w:noProof/>
            </w:rPr>
            <w:t xml:space="preserve"> </w:t>
          </w:r>
          <w:r w:rsidR="00305E13" w:rsidRPr="00305E13">
            <w:rPr>
              <w:noProof/>
            </w:rPr>
            <w:t>[18]</w:t>
          </w:r>
          <w:r w:rsidR="00305E13">
            <w:fldChar w:fldCharType="end"/>
          </w:r>
        </w:sdtContent>
      </w:sdt>
      <w:r>
        <w:t>.</w:t>
      </w:r>
    </w:p>
    <w:p w14:paraId="7F188704" w14:textId="77777777" w:rsidR="00B872C0" w:rsidRDefault="00B872C0" w:rsidP="00B872C0">
      <w:pPr>
        <w:jc w:val="both"/>
      </w:pPr>
    </w:p>
    <w:p w14:paraId="4FD7F1FF" w14:textId="62B82D35" w:rsidR="00B872C0" w:rsidRDefault="00B872C0" w:rsidP="00B872C0">
      <w:pPr>
        <w:jc w:val="both"/>
      </w:pPr>
      <w:r>
        <w:t xml:space="preserve">Within hospitals, systematic reviews of AI implementation using EMR data show that most work remains at the proof‑of‑concept level, with few systems operating on live data in a learning‑health‑system paradigm </w:t>
      </w:r>
      <w:sdt>
        <w:sdtPr>
          <w:id w:val="-758910743"/>
          <w:citation/>
        </w:sdtPr>
        <w:sdtEndPr/>
        <w:sdtContent>
          <w:r w:rsidR="007D29CF">
            <w:fldChar w:fldCharType="begin"/>
          </w:r>
          <w:r w:rsidR="007D29CF">
            <w:instrText xml:space="preserve"> CITATION Kam24 \l</w:instrText>
          </w:r>
          <w:r w:rsidR="008150F2">
            <w:instrText xml:space="preserve"> en-US </w:instrText>
          </w:r>
          <w:r w:rsidR="007D29CF">
            <w:fldChar w:fldCharType="separate"/>
          </w:r>
          <w:r w:rsidR="007D29CF" w:rsidRPr="007D29CF">
            <w:rPr>
              <w:noProof/>
            </w:rPr>
            <w:t>[18]</w:t>
          </w:r>
          <w:r w:rsidR="007D29CF">
            <w:fldChar w:fldCharType="end"/>
          </w:r>
        </w:sdtContent>
      </w:sdt>
      <w:r>
        <w:t>. Shifting from retrospective model development to continuous, real‑time learning requires robust data pipelines, monitoring, and feedback loops, which are still rare. This gap underlines the need for architectures that support ongoing model updating, performance monitoring, and joint governance between healthcare and HR stakeholders.</w:t>
      </w:r>
    </w:p>
    <w:p w14:paraId="3B818C9D" w14:textId="73FC3A66" w:rsidR="00B872C0" w:rsidRDefault="00B872C0" w:rsidP="00B872C0">
      <w:pPr>
        <w:jc w:val="both"/>
      </w:pPr>
    </w:p>
    <w:p w14:paraId="2E595351" w14:textId="00678D02" w:rsidR="00B872C0" w:rsidRDefault="00B872C0" w:rsidP="003B2CEB">
      <w:pPr>
        <w:pStyle w:val="Heading2"/>
        <w:jc w:val="both"/>
      </w:pPr>
      <w:r w:rsidRPr="00B872C0">
        <w:t>AI‑Augmented HRM and Workforce Well‑Being</w:t>
      </w:r>
    </w:p>
    <w:p w14:paraId="3095D13A" w14:textId="5D7EB5CD" w:rsidR="00DB35F8" w:rsidRDefault="00DB35F8" w:rsidP="00DB35F8">
      <w:pPr>
        <w:jc w:val="both"/>
      </w:pPr>
      <w:r>
        <w:t xml:space="preserve">On the HR side, AI‑augmented HRM has expanded rapidly but remains concentrated in routine functions like recruitment and selection, with limited empirical work on strategic outcomes or cross‑functional integration </w:t>
      </w:r>
      <w:sdt>
        <w:sdtPr>
          <w:id w:val="1022978509"/>
          <w:citation/>
        </w:sdtPr>
        <w:sdtEndPr/>
        <w:sdtContent>
          <w:r w:rsidR="00A60112">
            <w:fldChar w:fldCharType="begin"/>
          </w:r>
          <w:r w:rsidR="00A60112">
            <w:instrText xml:space="preserve"> CITATION Pri23 \l</w:instrText>
          </w:r>
          <w:r w:rsidR="008150F2">
            <w:instrText xml:space="preserve"> en-US </w:instrText>
          </w:r>
          <w:r w:rsidR="00A60112">
            <w:fldChar w:fldCharType="separate"/>
          </w:r>
          <w:r w:rsidR="00A60112" w:rsidRPr="00A60112">
            <w:rPr>
              <w:noProof/>
            </w:rPr>
            <w:t>[23]</w:t>
          </w:r>
          <w:r w:rsidR="00A60112">
            <w:fldChar w:fldCharType="end"/>
          </w:r>
        </w:sdtContent>
      </w:sdt>
      <w:r>
        <w:t xml:space="preserve">. Reviews highlight uneven sectoral coverage, a weak theoretical foundation, and scarce evidence connecting AI‑enabled HRM to organizational performance </w:t>
      </w:r>
      <w:sdt>
        <w:sdtPr>
          <w:id w:val="-1640571390"/>
          <w:citation/>
        </w:sdtPr>
        <w:sdtEndPr/>
        <w:sdtContent>
          <w:r w:rsidR="00F019B0">
            <w:fldChar w:fldCharType="begin"/>
          </w:r>
          <w:r w:rsidR="00F019B0">
            <w:instrText xml:space="preserve"> CITATION Pri23 \l</w:instrText>
          </w:r>
          <w:r w:rsidR="008150F2">
            <w:instrText xml:space="preserve"> en-US </w:instrText>
          </w:r>
          <w:r w:rsidR="00F019B0">
            <w:fldChar w:fldCharType="separate"/>
          </w:r>
          <w:r w:rsidR="00F019B0" w:rsidRPr="00F019B0">
            <w:rPr>
              <w:noProof/>
            </w:rPr>
            <w:t>[23]</w:t>
          </w:r>
          <w:r w:rsidR="00F019B0">
            <w:fldChar w:fldCharType="end"/>
          </w:r>
        </w:sdtContent>
      </w:sdt>
      <w:r>
        <w:t>.</w:t>
      </w:r>
    </w:p>
    <w:p w14:paraId="7E8868C5" w14:textId="77777777" w:rsidR="00DB35F8" w:rsidRDefault="00DB35F8" w:rsidP="00DB35F8">
      <w:pPr>
        <w:jc w:val="both"/>
      </w:pPr>
    </w:p>
    <w:p w14:paraId="52285170" w14:textId="1D6CD559" w:rsidR="00DB35F8" w:rsidRDefault="00DB35F8" w:rsidP="00DB35F8">
      <w:pPr>
        <w:jc w:val="both"/>
      </w:pPr>
      <w:r>
        <w:t xml:space="preserve">In parallel, concern about healthcare worker mental health has grown, with AI proposed to mitigate burnout, stress, and cognitive overload via workflow improvements </w:t>
      </w:r>
      <w:sdt>
        <w:sdtPr>
          <w:id w:val="-994485170"/>
          <w:citation/>
        </w:sdtPr>
        <w:sdtEndPr/>
        <w:sdtContent>
          <w:r w:rsidR="00205FAD">
            <w:fldChar w:fldCharType="begin"/>
          </w:r>
          <w:r w:rsidR="00205FAD">
            <w:instrText xml:space="preserve"> CITATION Dav25 \l</w:instrText>
          </w:r>
          <w:r w:rsidR="008150F2">
            <w:instrText xml:space="preserve"> en-US </w:instrText>
          </w:r>
          <w:r w:rsidR="00205FAD">
            <w:fldChar w:fldCharType="separate"/>
          </w:r>
          <w:r w:rsidR="00205FAD" w:rsidRPr="00205FAD">
            <w:rPr>
              <w:noProof/>
            </w:rPr>
            <w:t>[24]</w:t>
          </w:r>
          <w:r w:rsidR="00205FAD">
            <w:fldChar w:fldCharType="end"/>
          </w:r>
        </w:sdtContent>
      </w:sdt>
      <w:r>
        <w:t xml:space="preserve">. Scoping reviews suggest that tools such as NLP‑supported documentation, AI‑integrated EHRs, and CDSS can reduce administrative burden and enhance job satisfaction, but integration problems, added oversight demands, and trust issues may offset these gains </w:t>
      </w:r>
      <w:sdt>
        <w:sdtPr>
          <w:id w:val="-1971578893"/>
          <w:citation/>
        </w:sdtPr>
        <w:sdtEndPr/>
        <w:sdtContent>
          <w:r w:rsidR="00205FAD">
            <w:fldChar w:fldCharType="begin"/>
          </w:r>
          <w:r w:rsidR="00205FAD">
            <w:instrText xml:space="preserve"> CITATION Dav25 \l</w:instrText>
          </w:r>
          <w:r w:rsidR="008150F2">
            <w:instrText xml:space="preserve"> en-US </w:instrText>
          </w:r>
          <w:r w:rsidR="00205FAD">
            <w:fldChar w:fldCharType="separate"/>
          </w:r>
          <w:r w:rsidR="00205FAD" w:rsidRPr="00205FAD">
            <w:rPr>
              <w:noProof/>
            </w:rPr>
            <w:t>[24]</w:t>
          </w:r>
          <w:r w:rsidR="00205FAD">
            <w:fldChar w:fldCharType="end"/>
          </w:r>
        </w:sdtContent>
      </w:sdt>
      <w:r>
        <w:t>.</w:t>
      </w:r>
    </w:p>
    <w:p w14:paraId="6FC929E6" w14:textId="77777777" w:rsidR="00DB35F8" w:rsidRDefault="00DB35F8" w:rsidP="00DB35F8">
      <w:pPr>
        <w:jc w:val="both"/>
      </w:pPr>
    </w:p>
    <w:p w14:paraId="7E710547" w14:textId="492E50CD" w:rsidR="006874BF" w:rsidRDefault="00DB35F8" w:rsidP="00D43FE5">
      <w:pPr>
        <w:jc w:val="both"/>
      </w:pPr>
      <w:r>
        <w:t xml:space="preserve">For learning disorders in the workplace, the overlap between AI‑enabled HRM and health‑system AI is largely unstudied. Existing work implies that integrated solutions must jointly address clinician workload, employee experience, and HR </w:t>
      </w:r>
      <w:r>
        <w:t xml:space="preserve">decision‑making while guarding against new inequities, privacy intrusions, or surveillance concerns </w:t>
      </w:r>
      <w:sdt>
        <w:sdtPr>
          <w:id w:val="-202404867"/>
          <w:citation/>
        </w:sdtPr>
        <w:sdtEndPr/>
        <w:sdtContent>
          <w:r w:rsidR="00ED6515">
            <w:fldChar w:fldCharType="begin"/>
          </w:r>
          <w:r w:rsidR="00ED6515">
            <w:instrText xml:space="preserve"> CITATION Dav25 \l</w:instrText>
          </w:r>
          <w:r w:rsidR="008150F2">
            <w:instrText xml:space="preserve"> en-US </w:instrText>
          </w:r>
          <w:r w:rsidR="00ED6515">
            <w:fldChar w:fldCharType="separate"/>
          </w:r>
          <w:r w:rsidR="00ED6515" w:rsidRPr="00ED6515">
            <w:rPr>
              <w:noProof/>
            </w:rPr>
            <w:t>[24]</w:t>
          </w:r>
          <w:r w:rsidR="00ED6515">
            <w:fldChar w:fldCharType="end"/>
          </w:r>
        </w:sdtContent>
      </w:sdt>
      <w:sdt>
        <w:sdtPr>
          <w:id w:val="-652211487"/>
          <w:citation/>
        </w:sdtPr>
        <w:sdtEndPr/>
        <w:sdtContent>
          <w:r w:rsidR="00ED6515">
            <w:fldChar w:fldCharType="begin"/>
          </w:r>
          <w:r w:rsidR="00ED6515">
            <w:instrText xml:space="preserve"> CITATION Pri23 \l</w:instrText>
          </w:r>
          <w:r w:rsidR="008150F2">
            <w:instrText xml:space="preserve"> en-US </w:instrText>
          </w:r>
          <w:r w:rsidR="00ED6515">
            <w:fldChar w:fldCharType="separate"/>
          </w:r>
          <w:r w:rsidR="00ED6515">
            <w:rPr>
              <w:noProof/>
            </w:rPr>
            <w:t xml:space="preserve"> </w:t>
          </w:r>
          <w:r w:rsidR="00ED6515" w:rsidRPr="00ED6515">
            <w:rPr>
              <w:noProof/>
            </w:rPr>
            <w:t>[23]</w:t>
          </w:r>
          <w:r w:rsidR="00ED6515">
            <w:fldChar w:fldCharType="end"/>
          </w:r>
        </w:sdtContent>
      </w:sdt>
      <w:sdt>
        <w:sdtPr>
          <w:id w:val="164135496"/>
          <w:citation/>
        </w:sdtPr>
        <w:sdtEndPr/>
        <w:sdtContent>
          <w:r w:rsidR="00ED6515">
            <w:fldChar w:fldCharType="begin"/>
          </w:r>
          <w:r w:rsidR="00ED6515">
            <w:instrText xml:space="preserve"> CITATION VoV23 \l</w:instrText>
          </w:r>
          <w:r w:rsidR="008150F2">
            <w:instrText xml:space="preserve"> en-US </w:instrText>
          </w:r>
          <w:r w:rsidR="00ED6515">
            <w:fldChar w:fldCharType="separate"/>
          </w:r>
          <w:r w:rsidR="00ED6515">
            <w:rPr>
              <w:noProof/>
            </w:rPr>
            <w:t xml:space="preserve"> </w:t>
          </w:r>
          <w:r w:rsidR="00ED6515" w:rsidRPr="00ED6515">
            <w:rPr>
              <w:noProof/>
            </w:rPr>
            <w:t>[20]</w:t>
          </w:r>
          <w:r w:rsidR="00ED6515">
            <w:fldChar w:fldCharType="end"/>
          </w:r>
        </w:sdtContent>
      </w:sdt>
      <w:r>
        <w:t>.</w:t>
      </w:r>
    </w:p>
    <w:p w14:paraId="17F150FC" w14:textId="5BECFB1F" w:rsidR="009303D9" w:rsidRDefault="005D2EB1" w:rsidP="006B6B66">
      <w:pPr>
        <w:pStyle w:val="Heading1"/>
      </w:pPr>
      <w:r>
        <w:t>Methodology</w:t>
      </w:r>
    </w:p>
    <w:p w14:paraId="21C51E20" w14:textId="1E9B5E9F" w:rsidR="009303D9" w:rsidRPr="009701CE" w:rsidRDefault="00D43E34" w:rsidP="009701CE">
      <w:pPr>
        <w:pStyle w:val="BodyText"/>
        <w:rPr>
          <w:lang w:val="en-US"/>
        </w:rPr>
      </w:pPr>
      <w:r w:rsidRPr="00D43E34">
        <w:t>This study followed a design science and mixed-methods evaluation approach to develop and assess CareLink as an integrated healthcare-HR platform for learning-disorder screening and coordinated workplace support. The methodology was structured to align with IEEE reporting expectations: clear system design, reproducible implementation steps, quantitative performance evaluation, and human-centered validation.</w:t>
      </w:r>
    </w:p>
    <w:p w14:paraId="22217789" w14:textId="41A36F7E" w:rsidR="009303D9" w:rsidRDefault="00EB09A0" w:rsidP="00ED0149">
      <w:pPr>
        <w:pStyle w:val="Heading2"/>
      </w:pPr>
      <w:r w:rsidRPr="00EB09A0">
        <w:t>Research Design</w:t>
      </w:r>
    </w:p>
    <w:p w14:paraId="174A4884" w14:textId="011CD51F" w:rsidR="004B134F" w:rsidRDefault="004B134F" w:rsidP="004B134F">
      <w:pPr>
        <w:pStyle w:val="BodyText"/>
      </w:pPr>
      <w:r>
        <w:t>The research used a four-phase Design Science Research (DSR) process with iterative refinement:</w:t>
      </w:r>
    </w:p>
    <w:p w14:paraId="649C2269" w14:textId="77777777" w:rsidR="004B134F" w:rsidRDefault="004B134F" w:rsidP="004B134F">
      <w:pPr>
        <w:pStyle w:val="BodyText"/>
        <w:numPr>
          <w:ilvl w:val="0"/>
          <w:numId w:val="27"/>
        </w:numPr>
      </w:pPr>
      <w:r>
        <w:t>Problem and requirement analysis: derive functional, ethical, and regulatory requirements from stakeholder needs and literature.</w:t>
      </w:r>
    </w:p>
    <w:p w14:paraId="52000115" w14:textId="77777777" w:rsidR="004B134F" w:rsidRDefault="004B134F" w:rsidP="004B134F">
      <w:pPr>
        <w:pStyle w:val="BodyText"/>
        <w:numPr>
          <w:ilvl w:val="0"/>
          <w:numId w:val="27"/>
        </w:numPr>
      </w:pPr>
      <w:r>
        <w:t>Artifact design and development: implement a microservices-based platform with role-based interfaces and AI screening modules.</w:t>
      </w:r>
    </w:p>
    <w:p w14:paraId="32DB98A5" w14:textId="77777777" w:rsidR="004B134F" w:rsidRDefault="004B134F" w:rsidP="004B134F">
      <w:pPr>
        <w:pStyle w:val="BodyText"/>
        <w:numPr>
          <w:ilvl w:val="0"/>
          <w:numId w:val="27"/>
        </w:numPr>
      </w:pPr>
      <w:r>
        <w:t>Demonstration and pilot operation: run end-to-end screening-to-support workflows in a controlled pilot setting.</w:t>
      </w:r>
    </w:p>
    <w:p w14:paraId="78F3884D" w14:textId="18B0BE1B" w:rsidR="009303D9" w:rsidRDefault="004B134F" w:rsidP="004B134F">
      <w:pPr>
        <w:pStyle w:val="BodyText"/>
        <w:numPr>
          <w:ilvl w:val="0"/>
          <w:numId w:val="27"/>
        </w:numPr>
      </w:pPr>
      <w:r>
        <w:t>Evaluation and refinement: assess technical performance, workflow outcomes, and user acceptance; feed clinician labels back for threshold tuning.</w:t>
      </w:r>
    </w:p>
    <w:p w14:paraId="4F79C176" w14:textId="39B9DE31" w:rsidR="009F094A" w:rsidRDefault="009F094A" w:rsidP="009F094A">
      <w:pPr>
        <w:pStyle w:val="BodyText"/>
        <w:ind w:start="14.40pt" w:firstLine="0pt"/>
      </w:pPr>
      <w:r w:rsidRPr="009F094A">
        <w:t>This design supports both artifact rigor and practical relevance in socio-technical healthcare-HR environments.</w:t>
      </w:r>
    </w:p>
    <w:p w14:paraId="2A8DBF5D" w14:textId="0662253F" w:rsidR="00146AE2" w:rsidRPr="005B520E" w:rsidRDefault="00146AE2" w:rsidP="009F094A">
      <w:pPr>
        <w:pStyle w:val="BodyText"/>
        <w:ind w:start="14.40pt" w:firstLine="0pt"/>
      </w:pPr>
      <w:r>
        <w:rPr>
          <w:noProof/>
        </w:rPr>
        <w:drawing>
          <wp:anchor distT="0" distB="0" distL="114300" distR="114300" simplePos="0" relativeHeight="251659776" behindDoc="1" locked="0" layoutInCell="1" allowOverlap="1" wp14:anchorId="7E3B82DA" wp14:editId="206BA3C3">
            <wp:simplePos x="0" y="0"/>
            <wp:positionH relativeFrom="margin">
              <wp:posOffset>3317875</wp:posOffset>
            </wp:positionH>
            <wp:positionV relativeFrom="paragraph">
              <wp:posOffset>220980</wp:posOffset>
            </wp:positionV>
            <wp:extent cx="3200400" cy="1325880"/>
            <wp:effectExtent l="0" t="0" r="19050" b="26670"/>
            <wp:wrapTight wrapText="bothSides">
              <wp:wrapPolygon edited="0">
                <wp:start x="0" y="0"/>
                <wp:lineTo x="0" y="21724"/>
                <wp:lineTo x="21600" y="21724"/>
                <wp:lineTo x="21600" y="0"/>
                <wp:lineTo x="0" y="0"/>
              </wp:wrapPolygon>
            </wp:wrapTight>
            <wp:docPr id="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325880"/>
                    </a:xfrm>
                    <a:prstGeom prst="rect">
                      <a:avLst/>
                    </a:prstGeom>
                    <a:solidFill>
                      <a:srgbClr val="FFFFFF"/>
                    </a:solidFill>
                    <a:ln w="9525">
                      <a:solidFill>
                        <a:schemeClr val="bg1"/>
                      </a:solidFill>
                      <a:miter lim="800%"/>
                      <a:headEnd/>
                      <a:tailEnd/>
                    </a:ln>
                  </wp:spPr>
                  <wp:txbx>
                    <wne:txbxContent>
                      <w:p w14:paraId="4328D5F0" w14:textId="1FEBE08F" w:rsidR="003B2CEB" w:rsidRDefault="003B2CEB" w:rsidP="00146AE2">
                        <w:pPr>
                          <w:pStyle w:val="BodyText"/>
                          <w:jc w:val="center"/>
                        </w:pPr>
                        <w:r>
                          <w:rPr>
                            <w:noProof/>
                          </w:rPr>
                          <w:drawing>
                            <wp:inline distT="0" distB="0" distL="0" distR="0" wp14:anchorId="37129A14" wp14:editId="268E8C6A">
                              <wp:extent cx="1990725" cy="1327150"/>
                              <wp:effectExtent l="0" t="0" r="9525" b="6350"/>
                              <wp:docPr id="4" name="Picture 4" descr="A diagram of a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A diagram of a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990725" cy="132715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15C27CBB" w14:textId="23EEF655" w:rsidR="00146AE2" w:rsidRDefault="00146AE2" w:rsidP="00146AE2">
      <w:pPr>
        <w:pStyle w:val="figurecaption"/>
      </w:pPr>
      <w:r>
        <w:t xml:space="preserve"> </w:t>
      </w:r>
      <w:r w:rsidR="007E26F0" w:rsidRPr="007E26F0">
        <w:t>Overall research methodology pipeline</w:t>
      </w:r>
    </w:p>
    <w:p w14:paraId="31C0E164" w14:textId="7CCB13C6" w:rsidR="009303D9" w:rsidRDefault="00B70E45" w:rsidP="00ED0149">
      <w:pPr>
        <w:pStyle w:val="Heading2"/>
      </w:pPr>
      <w:r w:rsidRPr="00B70E45">
        <w:t>Study Setting and Participants</w:t>
      </w:r>
    </w:p>
    <w:p w14:paraId="6359F068" w14:textId="40B25472" w:rsidR="00CF3595" w:rsidRDefault="00CF3595" w:rsidP="00CF3595">
      <w:pPr>
        <w:pStyle w:val="bulletlist"/>
        <w:numPr>
          <w:ilvl w:val="0"/>
          <w:numId w:val="0"/>
        </w:numPr>
        <w:ind w:start="28.80pt" w:hanging="14.40pt"/>
      </w:pPr>
      <w:r>
        <w:t>The pilot involved three stakeholder groups:</w:t>
      </w:r>
    </w:p>
    <w:p w14:paraId="0C68B31B" w14:textId="77777777" w:rsidR="00CF3595" w:rsidRDefault="00CF3595" w:rsidP="00CF3595">
      <w:pPr>
        <w:pStyle w:val="bulletlist"/>
      </w:pPr>
      <w:r>
        <w:t>Employees (screening respondents and support recipients).</w:t>
      </w:r>
    </w:p>
    <w:p w14:paraId="27ABC6D0" w14:textId="77777777" w:rsidR="00CF3595" w:rsidRDefault="00CF3595" w:rsidP="00CF3595">
      <w:pPr>
        <w:pStyle w:val="bulletlist"/>
      </w:pPr>
      <w:r>
        <w:t>Clinicians (review, confirmation, and labeling).</w:t>
      </w:r>
    </w:p>
    <w:p w14:paraId="03F6CF4A" w14:textId="54317F32" w:rsidR="00CF3595" w:rsidRDefault="00CF3595" w:rsidP="00CF3595">
      <w:pPr>
        <w:pStyle w:val="bulletlist"/>
      </w:pPr>
      <w:r>
        <w:t>HR managers (workplace planning and governance review).</w:t>
      </w:r>
    </w:p>
    <w:p w14:paraId="09E99455" w14:textId="7F03D42A" w:rsidR="00CF6BDD" w:rsidRDefault="00CF6BDD" w:rsidP="00CF6BDD">
      <w:pPr>
        <w:pStyle w:val="bulletlist"/>
        <w:numPr>
          <w:ilvl w:val="0"/>
          <w:numId w:val="0"/>
        </w:numPr>
      </w:pPr>
      <w:r w:rsidRPr="00CF6BDD">
        <w:t>Participants were recruited using purposive sampling from partner organizations. Inclusion and exclusion criteria were defined before data collection to ensure ethical participation and role-appropriate access. All users were assigned role-based accounts and consented to platform participation under approved governance procedures.</w:t>
      </w:r>
    </w:p>
    <w:p w14:paraId="50EF3935" w14:textId="76192AAE" w:rsidR="00E90479" w:rsidRDefault="00E90479" w:rsidP="000A140C">
      <w:pPr>
        <w:pStyle w:val="tablehead"/>
        <w:jc w:val="both"/>
      </w:pPr>
      <w:bookmarkStart w:id="0" w:name="_Ref226677131"/>
      <w:r w:rsidRPr="00E90479">
        <w:lastRenderedPageBreak/>
        <w:t>Participant groups, roles, and core tasks in the CareLink workflow.</w:t>
      </w:r>
      <w:bookmarkEnd w:id="0"/>
    </w:p>
    <w:tbl>
      <w:tblPr>
        <w:tblStyle w:val="TableGrid"/>
        <w:tblW w:w="238.50pt" w:type="dxa"/>
        <w:tblInd w:w="4.25pt" w:type="dxa"/>
        <w:tblLayout w:type="fixed"/>
        <w:tblLook w:firstRow="1" w:lastRow="0" w:firstColumn="1" w:lastColumn="0" w:noHBand="0" w:noVBand="1"/>
      </w:tblPr>
      <w:tblGrid>
        <w:gridCol w:w="1105"/>
        <w:gridCol w:w="1094"/>
        <w:gridCol w:w="1311"/>
        <w:gridCol w:w="1260"/>
      </w:tblGrid>
      <w:tr w:rsidR="000A140C" w:rsidRPr="00E90479" w14:paraId="34D7FA06" w14:textId="77777777" w:rsidTr="000A140C">
        <w:tc>
          <w:tcPr>
            <w:tcW w:w="55.25pt" w:type="dxa"/>
            <w:hideMark/>
          </w:tcPr>
          <w:p w14:paraId="14E7A022" w14:textId="77777777" w:rsidR="00E90479" w:rsidRPr="00E90479" w:rsidRDefault="00E90479" w:rsidP="00E90479">
            <w:pPr>
              <w:rPr>
                <w:rFonts w:eastAsia="Times New Roman"/>
                <w:b/>
                <w:bCs/>
                <w:sz w:val="16"/>
                <w:szCs w:val="16"/>
                <w:lang w:bidi="ta-IN"/>
              </w:rPr>
            </w:pPr>
            <w:r w:rsidRPr="00E90479">
              <w:rPr>
                <w:rFonts w:eastAsia="Times New Roman"/>
                <w:b/>
                <w:bCs/>
                <w:sz w:val="16"/>
                <w:szCs w:val="16"/>
                <w:lang w:bidi="ta-IN"/>
              </w:rPr>
              <w:t>Group</w:t>
            </w:r>
          </w:p>
        </w:tc>
        <w:tc>
          <w:tcPr>
            <w:tcW w:w="54.70pt" w:type="dxa"/>
            <w:hideMark/>
          </w:tcPr>
          <w:p w14:paraId="14F6F8DE" w14:textId="77777777" w:rsidR="00E90479" w:rsidRPr="00E90479" w:rsidRDefault="00E90479" w:rsidP="00E90479">
            <w:pPr>
              <w:rPr>
                <w:rFonts w:eastAsia="Times New Roman"/>
                <w:b/>
                <w:bCs/>
                <w:sz w:val="16"/>
                <w:szCs w:val="16"/>
                <w:lang w:bidi="ta-IN"/>
              </w:rPr>
            </w:pPr>
            <w:r w:rsidRPr="00E90479">
              <w:rPr>
                <w:rFonts w:eastAsia="Times New Roman"/>
                <w:b/>
                <w:bCs/>
                <w:sz w:val="16"/>
                <w:szCs w:val="16"/>
                <w:lang w:bidi="ta-IN"/>
              </w:rPr>
              <w:t>Primary Role in Platform</w:t>
            </w:r>
          </w:p>
        </w:tc>
        <w:tc>
          <w:tcPr>
            <w:tcW w:w="65.55pt" w:type="dxa"/>
            <w:hideMark/>
          </w:tcPr>
          <w:p w14:paraId="61B61F2F" w14:textId="77777777" w:rsidR="00E90479" w:rsidRPr="00E90479" w:rsidRDefault="00E90479" w:rsidP="00E90479">
            <w:pPr>
              <w:rPr>
                <w:rFonts w:eastAsia="Times New Roman"/>
                <w:b/>
                <w:bCs/>
                <w:sz w:val="16"/>
                <w:szCs w:val="16"/>
                <w:lang w:bidi="ta-IN"/>
              </w:rPr>
            </w:pPr>
            <w:r w:rsidRPr="00E90479">
              <w:rPr>
                <w:rFonts w:eastAsia="Times New Roman"/>
                <w:b/>
                <w:bCs/>
                <w:sz w:val="16"/>
                <w:szCs w:val="16"/>
                <w:lang w:bidi="ta-IN"/>
              </w:rPr>
              <w:t>Key Tasks</w:t>
            </w:r>
          </w:p>
        </w:tc>
        <w:tc>
          <w:tcPr>
            <w:tcW w:w="63pt" w:type="dxa"/>
            <w:hideMark/>
          </w:tcPr>
          <w:p w14:paraId="22D7334E" w14:textId="77777777" w:rsidR="00E90479" w:rsidRPr="00E90479" w:rsidRDefault="00E90479" w:rsidP="00E90479">
            <w:pPr>
              <w:rPr>
                <w:rFonts w:eastAsia="Times New Roman"/>
                <w:b/>
                <w:bCs/>
                <w:sz w:val="16"/>
                <w:szCs w:val="16"/>
                <w:lang w:bidi="ta-IN"/>
              </w:rPr>
            </w:pPr>
            <w:r w:rsidRPr="00E90479">
              <w:rPr>
                <w:rFonts w:eastAsia="Times New Roman"/>
                <w:b/>
                <w:bCs/>
                <w:sz w:val="16"/>
                <w:szCs w:val="16"/>
                <w:lang w:bidi="ta-IN"/>
              </w:rPr>
              <w:t>Main Outcomes Collected</w:t>
            </w:r>
          </w:p>
        </w:tc>
      </w:tr>
      <w:tr w:rsidR="000A140C" w:rsidRPr="00E90479" w14:paraId="2C2B0586" w14:textId="77777777" w:rsidTr="000A140C">
        <w:tc>
          <w:tcPr>
            <w:tcW w:w="55.25pt" w:type="dxa"/>
            <w:hideMark/>
          </w:tcPr>
          <w:p w14:paraId="5C9F84FB"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Employees</w:t>
            </w:r>
          </w:p>
        </w:tc>
        <w:tc>
          <w:tcPr>
            <w:tcW w:w="54.70pt" w:type="dxa"/>
            <w:hideMark/>
          </w:tcPr>
          <w:p w14:paraId="6EBD71FD"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Screening and disclosure</w:t>
            </w:r>
          </w:p>
        </w:tc>
        <w:tc>
          <w:tcPr>
            <w:tcW w:w="65.55pt" w:type="dxa"/>
            <w:hideMark/>
          </w:tcPr>
          <w:p w14:paraId="74CAEAD2"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Consent, questionnaire completion, follow-up</w:t>
            </w:r>
          </w:p>
        </w:tc>
        <w:tc>
          <w:tcPr>
            <w:tcW w:w="63pt" w:type="dxa"/>
            <w:hideMark/>
          </w:tcPr>
          <w:p w14:paraId="279F7A7E"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Completion rate, time-to-support, UX ratings</w:t>
            </w:r>
          </w:p>
        </w:tc>
      </w:tr>
      <w:tr w:rsidR="000A140C" w:rsidRPr="00E90479" w14:paraId="71C8AFD3" w14:textId="77777777" w:rsidTr="000A140C">
        <w:tc>
          <w:tcPr>
            <w:tcW w:w="55.25pt" w:type="dxa"/>
            <w:hideMark/>
          </w:tcPr>
          <w:p w14:paraId="097F9FAE"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Clinicians</w:t>
            </w:r>
          </w:p>
        </w:tc>
        <w:tc>
          <w:tcPr>
            <w:tcW w:w="54.70pt" w:type="dxa"/>
            <w:hideMark/>
          </w:tcPr>
          <w:p w14:paraId="001D79F5"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Clinical oversight</w:t>
            </w:r>
          </w:p>
        </w:tc>
        <w:tc>
          <w:tcPr>
            <w:tcW w:w="65.55pt" w:type="dxa"/>
            <w:hideMark/>
          </w:tcPr>
          <w:p w14:paraId="05DC51C6"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Case review, confirm/reject screening, labeling</w:t>
            </w:r>
          </w:p>
        </w:tc>
        <w:tc>
          <w:tcPr>
            <w:tcW w:w="63pt" w:type="dxa"/>
            <w:hideMark/>
          </w:tcPr>
          <w:p w14:paraId="7039BB05"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Confirmation agreement, review time, trust</w:t>
            </w:r>
          </w:p>
        </w:tc>
      </w:tr>
      <w:tr w:rsidR="000A140C" w:rsidRPr="00E90479" w14:paraId="4AB8E1DB" w14:textId="77777777" w:rsidTr="000A140C">
        <w:trPr>
          <w:trHeight w:val="530"/>
        </w:trPr>
        <w:tc>
          <w:tcPr>
            <w:tcW w:w="55.25pt" w:type="dxa"/>
            <w:hideMark/>
          </w:tcPr>
          <w:p w14:paraId="3B0E3933"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HR Managers</w:t>
            </w:r>
          </w:p>
        </w:tc>
        <w:tc>
          <w:tcPr>
            <w:tcW w:w="54.70pt" w:type="dxa"/>
            <w:hideMark/>
          </w:tcPr>
          <w:p w14:paraId="2BB523A2"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Workplace support planning</w:t>
            </w:r>
          </w:p>
        </w:tc>
        <w:tc>
          <w:tcPr>
            <w:tcW w:w="65.55pt" w:type="dxa"/>
            <w:hideMark/>
          </w:tcPr>
          <w:p w14:paraId="5F24C9FA"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Read-only governance review, accommodation planning</w:t>
            </w:r>
          </w:p>
        </w:tc>
        <w:tc>
          <w:tcPr>
            <w:tcW w:w="63pt" w:type="dxa"/>
            <w:hideMark/>
          </w:tcPr>
          <w:p w14:paraId="21656AA4" w14:textId="77777777" w:rsidR="00E90479" w:rsidRPr="00E90479" w:rsidRDefault="00E90479" w:rsidP="00E90479">
            <w:pPr>
              <w:jc w:val="start"/>
              <w:rPr>
                <w:rFonts w:eastAsia="Times New Roman"/>
                <w:sz w:val="16"/>
                <w:szCs w:val="16"/>
                <w:lang w:bidi="ta-IN"/>
              </w:rPr>
            </w:pPr>
            <w:r w:rsidRPr="00E90479">
              <w:rPr>
                <w:rFonts w:eastAsia="Times New Roman"/>
                <w:sz w:val="16"/>
                <w:szCs w:val="16"/>
                <w:lang w:bidi="ta-IN"/>
              </w:rPr>
              <w:t>Decision turnaround, adoption indicators</w:t>
            </w:r>
          </w:p>
        </w:tc>
      </w:tr>
    </w:tbl>
    <w:p w14:paraId="571FDA98" w14:textId="77777777" w:rsidR="008A7696" w:rsidRDefault="008A7696" w:rsidP="00CF6BDD">
      <w:pPr>
        <w:pStyle w:val="bulletlist"/>
        <w:numPr>
          <w:ilvl w:val="0"/>
          <w:numId w:val="0"/>
        </w:numPr>
      </w:pPr>
    </w:p>
    <w:p w14:paraId="29C57C75" w14:textId="2C4A2DBA" w:rsidR="004054D9" w:rsidRDefault="0029436B" w:rsidP="004054D9">
      <w:pPr>
        <w:pStyle w:val="Heading2"/>
      </w:pPr>
      <w:r w:rsidRPr="0029436B">
        <w:t>System Architecture and Workflow Implementation</w:t>
      </w:r>
    </w:p>
    <w:p w14:paraId="550D50BF" w14:textId="34C8F5B6" w:rsidR="004054D9" w:rsidRDefault="004054D9" w:rsidP="004054D9">
      <w:pPr>
        <w:pStyle w:val="BodyText"/>
      </w:pPr>
      <w:r>
        <w:t>CareLink was implemented as a modular microservices architecture with a web frontend and AI-screening backend. The current MVP scope is questionnaire-first screening with clinician-in-the-loop governance. Data exchange follows structured contracts compatible with healthcare interoperability practices.</w:t>
      </w:r>
    </w:p>
    <w:p w14:paraId="6C050EB9" w14:textId="1C87295A" w:rsidR="004054D9" w:rsidRDefault="004054D9" w:rsidP="004054D9">
      <w:pPr>
        <w:pStyle w:val="BodyText"/>
      </w:pPr>
      <w:r>
        <w:t>The operational workflow is:</w:t>
      </w:r>
    </w:p>
    <w:p w14:paraId="3F09BD59" w14:textId="77777777" w:rsidR="004054D9" w:rsidRDefault="004054D9" w:rsidP="004054D9">
      <w:pPr>
        <w:pStyle w:val="BodyText"/>
        <w:numPr>
          <w:ilvl w:val="0"/>
          <w:numId w:val="28"/>
        </w:numPr>
      </w:pPr>
      <w:r>
        <w:t>User authentication and role verification.</w:t>
      </w:r>
    </w:p>
    <w:p w14:paraId="135AECAB" w14:textId="77777777" w:rsidR="004054D9" w:rsidRDefault="004054D9" w:rsidP="004054D9">
      <w:pPr>
        <w:pStyle w:val="BodyText"/>
        <w:numPr>
          <w:ilvl w:val="0"/>
          <w:numId w:val="28"/>
        </w:numPr>
      </w:pPr>
      <w:r>
        <w:t>Consent and governance validation.</w:t>
      </w:r>
    </w:p>
    <w:p w14:paraId="62519E7E" w14:textId="77777777" w:rsidR="004054D9" w:rsidRDefault="004054D9" w:rsidP="004054D9">
      <w:pPr>
        <w:pStyle w:val="BodyText"/>
        <w:numPr>
          <w:ilvl w:val="0"/>
          <w:numId w:val="28"/>
        </w:numPr>
      </w:pPr>
      <w:r>
        <w:t>Questionnaire retrieval and completion.</w:t>
      </w:r>
    </w:p>
    <w:p w14:paraId="0D9C4F57" w14:textId="77777777" w:rsidR="004054D9" w:rsidRDefault="004054D9" w:rsidP="004054D9">
      <w:pPr>
        <w:pStyle w:val="BodyText"/>
        <w:numPr>
          <w:ilvl w:val="0"/>
          <w:numId w:val="28"/>
        </w:numPr>
      </w:pPr>
      <w:r>
        <w:t>Submission to centralized orchestrator.</w:t>
      </w:r>
    </w:p>
    <w:p w14:paraId="48322378" w14:textId="77777777" w:rsidR="004054D9" w:rsidRDefault="004054D9" w:rsidP="004054D9">
      <w:pPr>
        <w:pStyle w:val="BodyText"/>
        <w:numPr>
          <w:ilvl w:val="0"/>
          <w:numId w:val="28"/>
        </w:numPr>
      </w:pPr>
      <w:r>
        <w:t>Five-agent processing chain:</w:t>
      </w:r>
      <w:r>
        <w:rPr>
          <w:lang w:val="en-US"/>
        </w:rPr>
        <w:t xml:space="preserve"> </w:t>
      </w:r>
      <w:r>
        <w:t>intake and consent, feature extraction, quality and guardrails, prediction, recommendation.</w:t>
      </w:r>
    </w:p>
    <w:p w14:paraId="7CE04070" w14:textId="77777777" w:rsidR="004054D9" w:rsidRDefault="004054D9" w:rsidP="004054D9">
      <w:pPr>
        <w:pStyle w:val="BodyText"/>
        <w:numPr>
          <w:ilvl w:val="0"/>
          <w:numId w:val="28"/>
        </w:numPr>
      </w:pPr>
      <w:r>
        <w:t>Outcome generation (low risk, possible dyslexia risk, possible dyscalculia risk, combined risk, or inconclusive).</w:t>
      </w:r>
    </w:p>
    <w:p w14:paraId="27414E71" w14:textId="77777777" w:rsidR="004054D9" w:rsidRDefault="004054D9" w:rsidP="004054D9">
      <w:pPr>
        <w:pStyle w:val="BodyText"/>
        <w:numPr>
          <w:ilvl w:val="0"/>
          <w:numId w:val="28"/>
        </w:numPr>
      </w:pPr>
      <w:r>
        <w:t>Escalation of high-risk or low-confidence cases to clinician review.</w:t>
      </w:r>
    </w:p>
    <w:p w14:paraId="2AB2C27F" w14:textId="78304C41" w:rsidR="00D43FE5" w:rsidRDefault="004054D9" w:rsidP="00EB1BA8">
      <w:pPr>
        <w:pStyle w:val="BodyText"/>
        <w:numPr>
          <w:ilvl w:val="0"/>
          <w:numId w:val="28"/>
        </w:numPr>
      </w:pPr>
      <w:r>
        <w:t>Storage of responses, features, model metadata, thresholds, confidence, and audit records.</w:t>
      </w:r>
    </w:p>
    <w:p w14:paraId="77EDA353" w14:textId="6D288660" w:rsidR="00682A15" w:rsidRDefault="00682A15" w:rsidP="00682A15">
      <w:pPr>
        <w:pStyle w:val="BodyText"/>
        <w:jc w:val="center"/>
      </w:pPr>
      <w:r>
        <w:rPr>
          <w:noProof/>
        </w:rPr>
        <w:drawing>
          <wp:anchor distT="0" distB="0" distL="114300" distR="114300" simplePos="0" relativeHeight="251661824" behindDoc="1" locked="0" layoutInCell="1" allowOverlap="1" wp14:anchorId="46B81067" wp14:editId="20BE48ED">
            <wp:simplePos x="0" y="0"/>
            <wp:positionH relativeFrom="margin">
              <wp:posOffset>0</wp:posOffset>
            </wp:positionH>
            <wp:positionV relativeFrom="paragraph">
              <wp:posOffset>217805</wp:posOffset>
            </wp:positionV>
            <wp:extent cx="3200400" cy="1414145"/>
            <wp:effectExtent l="0" t="0" r="19050" b="14605"/>
            <wp:wrapTight wrapText="bothSides">
              <wp:wrapPolygon edited="0">
                <wp:start x="0" y="0"/>
                <wp:lineTo x="0" y="21532"/>
                <wp:lineTo x="21600" y="21532"/>
                <wp:lineTo x="21600" y="0"/>
                <wp:lineTo x="0" y="0"/>
              </wp:wrapPolygon>
            </wp:wrapTight>
            <wp:docPr id="6"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414145"/>
                    </a:xfrm>
                    <a:prstGeom prst="rect">
                      <a:avLst/>
                    </a:prstGeom>
                    <a:solidFill>
                      <a:srgbClr val="FFFFFF"/>
                    </a:solidFill>
                    <a:ln w="9525">
                      <a:solidFill>
                        <a:schemeClr val="bg1"/>
                      </a:solidFill>
                      <a:miter lim="800%"/>
                      <a:headEnd/>
                      <a:tailEnd/>
                    </a:ln>
                  </wp:spPr>
                  <wp:txbx>
                    <wne:txbxContent>
                      <w:p w14:paraId="77948767" w14:textId="04805CA8" w:rsidR="003B2CEB" w:rsidRDefault="003B2CEB" w:rsidP="00682A15">
                        <w:pPr>
                          <w:pStyle w:val="BodyText"/>
                          <w:jc w:val="center"/>
                        </w:pPr>
                        <w:r>
                          <w:rPr>
                            <w:noProof/>
                          </w:rPr>
                          <w:drawing>
                            <wp:inline distT="0" distB="0" distL="0" distR="0" wp14:anchorId="4B6F4876" wp14:editId="2D9EA78C">
                              <wp:extent cx="932688" cy="1528516"/>
                              <wp:effectExtent l="0" t="0" r="1270" b="0"/>
                              <wp:docPr id="14" name="Picture 14" descr="A diagram of a business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8" descr="A diagram of a business proces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945187" cy="1548999"/>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14650E54" w14:textId="77777777" w:rsidR="00682A15" w:rsidRDefault="00682A15" w:rsidP="00D43FE5">
      <w:pPr>
        <w:pStyle w:val="BodyText"/>
        <w:ind w:firstLine="0pt"/>
      </w:pPr>
    </w:p>
    <w:p w14:paraId="3B94CDDD" w14:textId="0DBB5475" w:rsidR="0093799C" w:rsidRDefault="0093799C" w:rsidP="00D43FE5">
      <w:pPr>
        <w:pStyle w:val="figurecaption"/>
      </w:pPr>
      <w:r w:rsidRPr="0093799C">
        <w:t>End-to-end CareLink screening workflow and clinician escalation path.</w:t>
      </w:r>
    </w:p>
    <w:p w14:paraId="7B7ADA1E" w14:textId="19A76A5E" w:rsidR="009303D9" w:rsidRDefault="00682A15" w:rsidP="00ED0149">
      <w:pPr>
        <w:pStyle w:val="Heading2"/>
      </w:pPr>
      <w:r w:rsidRPr="00682A15">
        <w:t>Data Model and Feature Engineering</w:t>
      </w:r>
    </w:p>
    <w:p w14:paraId="64DFC8A1" w14:textId="77777777" w:rsidR="00C94768" w:rsidRDefault="00C94768" w:rsidP="00C94768">
      <w:pPr>
        <w:pStyle w:val="bulletlist"/>
        <w:numPr>
          <w:ilvl w:val="0"/>
          <w:numId w:val="0"/>
        </w:numPr>
      </w:pPr>
      <w:r>
        <w:t xml:space="preserve">The MVP used structured questionnaire responses as the primary modality. Each response item was encoded with item </w:t>
      </w:r>
      <w:r>
        <w:t>identifier, disorder domain, construct category, modality, and normalized score boundaries. Feature engineering produced model-ready vectors including:</w:t>
      </w:r>
    </w:p>
    <w:p w14:paraId="18E04C98" w14:textId="77777777" w:rsidR="00C94768" w:rsidRDefault="00C94768" w:rsidP="00C94768">
      <w:pPr>
        <w:pStyle w:val="bulletlist"/>
      </w:pPr>
      <w:r>
        <w:t>Dyslexia symptom and functional-impact aggregates.</w:t>
      </w:r>
    </w:p>
    <w:p w14:paraId="6FE718A4" w14:textId="77777777" w:rsidR="00C94768" w:rsidRDefault="00C94768" w:rsidP="00C94768">
      <w:pPr>
        <w:pStyle w:val="bulletlist"/>
      </w:pPr>
      <w:r>
        <w:t>Dyscalculia symptom and functional-impact aggregates.</w:t>
      </w:r>
    </w:p>
    <w:p w14:paraId="0FA938FA" w14:textId="77777777" w:rsidR="00C94768" w:rsidRDefault="00C94768" w:rsidP="00C94768">
      <w:pPr>
        <w:pStyle w:val="bulletlist"/>
      </w:pPr>
      <w:r>
        <w:t>Persistence/developmental-history indicators.</w:t>
      </w:r>
    </w:p>
    <w:p w14:paraId="69FB89C9" w14:textId="77777777" w:rsidR="00C94768" w:rsidRDefault="00C94768" w:rsidP="00C94768">
      <w:pPr>
        <w:pStyle w:val="bulletlist"/>
      </w:pPr>
      <w:r>
        <w:t>Exclusion and consistency flags.</w:t>
      </w:r>
    </w:p>
    <w:p w14:paraId="71E1E259" w14:textId="77777777" w:rsidR="00C94768" w:rsidRDefault="00C94768" w:rsidP="00C94768">
      <w:pPr>
        <w:pStyle w:val="bulletlist"/>
      </w:pPr>
      <w:r>
        <w:t>Submission metadata (language/version).</w:t>
      </w:r>
    </w:p>
    <w:p w14:paraId="330EB29A" w14:textId="3D86F970" w:rsidR="009303D9" w:rsidRDefault="00C94768" w:rsidP="00C94768">
      <w:pPr>
        <w:pStyle w:val="bulletlist"/>
        <w:numPr>
          <w:ilvl w:val="0"/>
          <w:numId w:val="0"/>
        </w:numPr>
      </w:pPr>
      <w:r>
        <w:t>Quality-control checks were applied to detect missing data, contradictory patterns, and low-evidence submissions. These checks directly influenced confidence scoring and triage routing.</w:t>
      </w:r>
    </w:p>
    <w:p w14:paraId="7E1C1E57" w14:textId="1E880378" w:rsidR="00C94768" w:rsidRPr="005B520E" w:rsidRDefault="00C94768" w:rsidP="00C94768">
      <w:pPr>
        <w:pStyle w:val="tablehead"/>
        <w:jc w:val="both"/>
      </w:pPr>
      <w:bookmarkStart w:id="1" w:name="_Ref226677151"/>
      <w:r w:rsidRPr="00E90479">
        <w:t>Participant groups, roles, and core tasks in the CareLink workflow.</w:t>
      </w:r>
      <w:bookmarkEnd w:id="1"/>
    </w:p>
    <w:tbl>
      <w:tblPr>
        <w:tblStyle w:val="TableGrid"/>
        <w:tblW w:w="238.25pt" w:type="dxa"/>
        <w:tblLook w:firstRow="1" w:lastRow="0" w:firstColumn="1" w:lastColumn="0" w:noHBand="0" w:noVBand="1"/>
      </w:tblPr>
      <w:tblGrid>
        <w:gridCol w:w="972"/>
        <w:gridCol w:w="1194"/>
        <w:gridCol w:w="2599"/>
      </w:tblGrid>
      <w:tr w:rsidR="00C94768" w:rsidRPr="00C94768" w14:paraId="167D37AB" w14:textId="77777777" w:rsidTr="00F23F1E">
        <w:tc>
          <w:tcPr>
            <w:tcW w:w="48.60pt" w:type="dxa"/>
            <w:hideMark/>
          </w:tcPr>
          <w:p w14:paraId="7A650763" w14:textId="77777777" w:rsidR="00C94768" w:rsidRPr="00C94768" w:rsidRDefault="00C94768" w:rsidP="00C94768">
            <w:pPr>
              <w:rPr>
                <w:rFonts w:eastAsia="Times New Roman"/>
                <w:b/>
                <w:bCs/>
                <w:sz w:val="16"/>
                <w:szCs w:val="16"/>
                <w:lang w:bidi="ta-IN"/>
              </w:rPr>
            </w:pPr>
            <w:r w:rsidRPr="00C94768">
              <w:rPr>
                <w:rFonts w:eastAsia="Times New Roman"/>
                <w:b/>
                <w:bCs/>
                <w:sz w:val="16"/>
                <w:szCs w:val="16"/>
                <w:lang w:bidi="ta-IN"/>
              </w:rPr>
              <w:t>Feature Group</w:t>
            </w:r>
          </w:p>
        </w:tc>
        <w:tc>
          <w:tcPr>
            <w:tcW w:w="59.70pt" w:type="dxa"/>
            <w:hideMark/>
          </w:tcPr>
          <w:p w14:paraId="10D9631E" w14:textId="77777777" w:rsidR="00C94768" w:rsidRPr="00C94768" w:rsidRDefault="00C94768" w:rsidP="00C94768">
            <w:pPr>
              <w:rPr>
                <w:rFonts w:eastAsia="Times New Roman"/>
                <w:b/>
                <w:bCs/>
                <w:sz w:val="16"/>
                <w:szCs w:val="16"/>
                <w:lang w:bidi="ta-IN"/>
              </w:rPr>
            </w:pPr>
            <w:r w:rsidRPr="00C94768">
              <w:rPr>
                <w:rFonts w:eastAsia="Times New Roman"/>
                <w:b/>
                <w:bCs/>
                <w:sz w:val="16"/>
                <w:szCs w:val="16"/>
                <w:lang w:bidi="ta-IN"/>
              </w:rPr>
              <w:t>Example Variables</w:t>
            </w:r>
          </w:p>
        </w:tc>
        <w:tc>
          <w:tcPr>
            <w:tcW w:w="129.95pt" w:type="dxa"/>
            <w:hideMark/>
          </w:tcPr>
          <w:p w14:paraId="7EBC3D00" w14:textId="77777777" w:rsidR="00C94768" w:rsidRPr="00C94768" w:rsidRDefault="00C94768" w:rsidP="00C94768">
            <w:pPr>
              <w:rPr>
                <w:rFonts w:eastAsia="Times New Roman"/>
                <w:b/>
                <w:bCs/>
                <w:sz w:val="16"/>
                <w:szCs w:val="16"/>
                <w:lang w:bidi="ta-IN"/>
              </w:rPr>
            </w:pPr>
            <w:r w:rsidRPr="00C94768">
              <w:rPr>
                <w:rFonts w:eastAsia="Times New Roman"/>
                <w:b/>
                <w:bCs/>
                <w:sz w:val="16"/>
                <w:szCs w:val="16"/>
                <w:lang w:bidi="ta-IN"/>
              </w:rPr>
              <w:t>Purpose in Model / Guardrail</w:t>
            </w:r>
          </w:p>
        </w:tc>
      </w:tr>
      <w:tr w:rsidR="00C94768" w:rsidRPr="00C94768" w14:paraId="77D93C5D" w14:textId="77777777" w:rsidTr="00F23F1E">
        <w:tc>
          <w:tcPr>
            <w:tcW w:w="48.60pt" w:type="dxa"/>
            <w:hideMark/>
          </w:tcPr>
          <w:p w14:paraId="5CCD489A"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Dyslexia domain</w:t>
            </w:r>
          </w:p>
        </w:tc>
        <w:tc>
          <w:tcPr>
            <w:tcW w:w="59.70pt" w:type="dxa"/>
            <w:hideMark/>
          </w:tcPr>
          <w:p w14:paraId="4A671F9A"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Reading speed, decoding ability, spelling strain</w:t>
            </w:r>
          </w:p>
        </w:tc>
        <w:tc>
          <w:tcPr>
            <w:tcW w:w="129.95pt" w:type="dxa"/>
            <w:hideMark/>
          </w:tcPr>
          <w:p w14:paraId="713420BF"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Dyslexia risk probability</w:t>
            </w:r>
          </w:p>
        </w:tc>
      </w:tr>
      <w:tr w:rsidR="00C94768" w:rsidRPr="00C94768" w14:paraId="18E93700" w14:textId="77777777" w:rsidTr="00F23F1E">
        <w:tc>
          <w:tcPr>
            <w:tcW w:w="48.60pt" w:type="dxa"/>
            <w:hideMark/>
          </w:tcPr>
          <w:p w14:paraId="63EDBB16"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Dyscalculia domain</w:t>
            </w:r>
          </w:p>
        </w:tc>
        <w:tc>
          <w:tcPr>
            <w:tcW w:w="59.70pt" w:type="dxa"/>
            <w:hideMark/>
          </w:tcPr>
          <w:p w14:paraId="322F2C36"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Number sense, arithmetic retrieval, procedural errors</w:t>
            </w:r>
          </w:p>
        </w:tc>
        <w:tc>
          <w:tcPr>
            <w:tcW w:w="129.95pt" w:type="dxa"/>
            <w:hideMark/>
          </w:tcPr>
          <w:p w14:paraId="56BFD8B3"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Dyscalculia risk probability</w:t>
            </w:r>
          </w:p>
        </w:tc>
      </w:tr>
      <w:tr w:rsidR="00C94768" w:rsidRPr="00C94768" w14:paraId="634C513C" w14:textId="77777777" w:rsidTr="00F23F1E">
        <w:tc>
          <w:tcPr>
            <w:tcW w:w="48.60pt" w:type="dxa"/>
            <w:hideMark/>
          </w:tcPr>
          <w:p w14:paraId="45EFCB06"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Functional impact</w:t>
            </w:r>
          </w:p>
        </w:tc>
        <w:tc>
          <w:tcPr>
            <w:tcW w:w="59.70pt" w:type="dxa"/>
            <w:hideMark/>
          </w:tcPr>
          <w:p w14:paraId="1B4C7EB9"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Deadline impact, confidence reduction</w:t>
            </w:r>
          </w:p>
        </w:tc>
        <w:tc>
          <w:tcPr>
            <w:tcW w:w="129.95pt" w:type="dxa"/>
            <w:hideMark/>
          </w:tcPr>
          <w:p w14:paraId="60A63501"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Severity of workplace impact</w:t>
            </w:r>
          </w:p>
        </w:tc>
      </w:tr>
      <w:tr w:rsidR="00C94768" w:rsidRPr="00C94768" w14:paraId="0AC59633" w14:textId="77777777" w:rsidTr="00F23F1E">
        <w:tc>
          <w:tcPr>
            <w:tcW w:w="48.60pt" w:type="dxa"/>
            <w:hideMark/>
          </w:tcPr>
          <w:p w14:paraId="01D55DE4"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Persistence / history</w:t>
            </w:r>
          </w:p>
        </w:tc>
        <w:tc>
          <w:tcPr>
            <w:tcW w:w="59.70pt" w:type="dxa"/>
            <w:hideMark/>
          </w:tcPr>
          <w:p w14:paraId="717FA74D"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Developmental persistence indicators</w:t>
            </w:r>
          </w:p>
        </w:tc>
        <w:tc>
          <w:tcPr>
            <w:tcW w:w="129.95pt" w:type="dxa"/>
            <w:hideMark/>
          </w:tcPr>
          <w:p w14:paraId="49422D03"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Guardrail completeness checks</w:t>
            </w:r>
          </w:p>
        </w:tc>
      </w:tr>
      <w:tr w:rsidR="00C94768" w:rsidRPr="00C94768" w14:paraId="0642DC84" w14:textId="77777777" w:rsidTr="00F23F1E">
        <w:tc>
          <w:tcPr>
            <w:tcW w:w="48.60pt" w:type="dxa"/>
            <w:hideMark/>
          </w:tcPr>
          <w:p w14:paraId="591FC84A"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Exclusion / consistency</w:t>
            </w:r>
          </w:p>
        </w:tc>
        <w:tc>
          <w:tcPr>
            <w:tcW w:w="59.70pt" w:type="dxa"/>
            <w:hideMark/>
          </w:tcPr>
          <w:p w14:paraId="3353ADB4"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Contradiction flags, missing critical items</w:t>
            </w:r>
          </w:p>
        </w:tc>
        <w:tc>
          <w:tcPr>
            <w:tcW w:w="129.95pt" w:type="dxa"/>
            <w:hideMark/>
          </w:tcPr>
          <w:p w14:paraId="2C3B9EAB" w14:textId="77777777" w:rsidR="00C94768" w:rsidRPr="00C94768" w:rsidRDefault="00C94768" w:rsidP="00C94768">
            <w:pPr>
              <w:jc w:val="start"/>
              <w:rPr>
                <w:rFonts w:eastAsia="Times New Roman"/>
                <w:sz w:val="16"/>
                <w:szCs w:val="16"/>
                <w:lang w:bidi="ta-IN"/>
              </w:rPr>
            </w:pPr>
            <w:r w:rsidRPr="00C94768">
              <w:rPr>
                <w:rFonts w:eastAsia="Times New Roman"/>
                <w:sz w:val="16"/>
                <w:szCs w:val="16"/>
                <w:lang w:bidi="ta-IN"/>
              </w:rPr>
              <w:t>Confidence downgrade and escalation</w:t>
            </w:r>
          </w:p>
        </w:tc>
      </w:tr>
    </w:tbl>
    <w:p w14:paraId="5D91637A" w14:textId="0A96149D" w:rsidR="00E84513" w:rsidRDefault="00E84513" w:rsidP="00E84513">
      <w:pPr>
        <w:pStyle w:val="Heading2"/>
      </w:pPr>
      <w:r>
        <w:t>AI Modeling and Decision Logic</w:t>
      </w:r>
    </w:p>
    <w:p w14:paraId="7114F806" w14:textId="77777777" w:rsidR="00BE638A" w:rsidRDefault="00BE638A" w:rsidP="00BE638A">
      <w:pPr>
        <w:jc w:val="both"/>
      </w:pPr>
      <w:r>
        <w:t>For Phase 1, binary classification was used rather than full severity prediction. Two XGBoost classifiers were configured:</w:t>
      </w:r>
    </w:p>
    <w:p w14:paraId="27572AD4" w14:textId="77777777" w:rsidR="00BE638A" w:rsidRDefault="00BE638A" w:rsidP="00BE638A">
      <w:pPr>
        <w:pStyle w:val="ListParagraph"/>
        <w:numPr>
          <w:ilvl w:val="0"/>
          <w:numId w:val="30"/>
        </w:numPr>
        <w:jc w:val="both"/>
      </w:pPr>
      <w:r>
        <w:t>Model A: dyslexia risk.</w:t>
      </w:r>
    </w:p>
    <w:p w14:paraId="0FF79C14" w14:textId="1DC846F7" w:rsidR="00BE638A" w:rsidRDefault="00BE638A" w:rsidP="00BE638A">
      <w:pPr>
        <w:pStyle w:val="ListParagraph"/>
        <w:numPr>
          <w:ilvl w:val="0"/>
          <w:numId w:val="30"/>
        </w:numPr>
        <w:jc w:val="both"/>
      </w:pPr>
      <w:r>
        <w:t>Model B: dyscalculia risk.</w:t>
      </w:r>
    </w:p>
    <w:p w14:paraId="292B57B3" w14:textId="77777777" w:rsidR="00BE638A" w:rsidRDefault="00BE638A" w:rsidP="00BE638A">
      <w:pPr>
        <w:jc w:val="both"/>
      </w:pPr>
      <w:r>
        <w:t>Each inference produced a probability and a thresholded screening decision. A clinical guardrail layer then validated decision safety by checking completeness, persistence, exclusions, and contradiction patterns. Cases not meeting reliability criteria were marked inconclusive or low confidence and routed for clinician review.</w:t>
      </w:r>
    </w:p>
    <w:p w14:paraId="7ED03CD9" w14:textId="77777777" w:rsidR="00BE638A" w:rsidRDefault="00BE638A" w:rsidP="00BE638A">
      <w:pPr>
        <w:jc w:val="both"/>
      </w:pPr>
    </w:p>
    <w:p w14:paraId="29AC4F1D" w14:textId="4F650B6E" w:rsidR="00E84513" w:rsidRDefault="00BE638A" w:rsidP="00BE638A">
      <w:pPr>
        <w:jc w:val="both"/>
      </w:pPr>
      <w:r>
        <w:t>Decision outputs were constrained to screening language, not diagnosis language, to preserve clinical safety and regulatory alignment.</w:t>
      </w:r>
    </w:p>
    <w:p w14:paraId="24C37715" w14:textId="77777777" w:rsidR="0026167A" w:rsidRDefault="0026167A" w:rsidP="0026167A">
      <w:pPr>
        <w:pStyle w:val="BodyText"/>
        <w:jc w:val="center"/>
      </w:pPr>
      <w:r>
        <w:rPr>
          <w:noProof/>
        </w:rPr>
        <w:lastRenderedPageBreak/>
        <w:drawing>
          <wp:inline distT="0" distB="0" distL="0" distR="0" wp14:anchorId="79BC1A78" wp14:editId="4050767D">
            <wp:extent cx="1559859" cy="2339076"/>
            <wp:effectExtent l="0" t="0" r="2540" b="4445"/>
            <wp:docPr id="5" name="Picture 5" descr="A diagram of a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2" descr="A diagram of a proces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4092" cy="2360419"/>
                    </a:xfrm>
                    <a:prstGeom prst="rect">
                      <a:avLst/>
                    </a:prstGeom>
                  </pic:spPr>
                </pic:pic>
              </a:graphicData>
            </a:graphic>
          </wp:inline>
        </w:drawing>
      </w:r>
    </w:p>
    <w:p w14:paraId="727451CD" w14:textId="77777777" w:rsidR="0026167A" w:rsidRDefault="0026167A" w:rsidP="00BE638A">
      <w:pPr>
        <w:jc w:val="both"/>
      </w:pPr>
    </w:p>
    <w:p w14:paraId="259B75C2" w14:textId="5CF07184" w:rsidR="0085763C" w:rsidRDefault="00D93B9B" w:rsidP="0085763C">
      <w:pPr>
        <w:jc w:val="both"/>
      </w:pPr>
      <w:r>
        <w:rPr>
          <w:noProof/>
        </w:rPr>
        <w:drawing>
          <wp:anchor distT="0" distB="0" distL="114300" distR="114300" simplePos="0" relativeHeight="251663872" behindDoc="1" locked="0" layoutInCell="1" allowOverlap="1" wp14:anchorId="7B850ACB" wp14:editId="0AE94C48">
            <wp:simplePos x="0" y="0"/>
            <wp:positionH relativeFrom="margin">
              <wp:posOffset>3317875</wp:posOffset>
            </wp:positionH>
            <wp:positionV relativeFrom="paragraph">
              <wp:posOffset>150495</wp:posOffset>
            </wp:positionV>
            <wp:extent cx="3200400" cy="1653540"/>
            <wp:effectExtent l="0" t="0" r="19050" b="22860"/>
            <wp:wrapTight wrapText="bothSides">
              <wp:wrapPolygon edited="0">
                <wp:start x="0" y="0"/>
                <wp:lineTo x="0" y="21650"/>
                <wp:lineTo x="21600" y="21650"/>
                <wp:lineTo x="21600" y="0"/>
                <wp:lineTo x="0" y="0"/>
              </wp:wrapPolygon>
            </wp:wrapTight>
            <wp:docPr id="9"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653540"/>
                    </a:xfrm>
                    <a:prstGeom prst="rect">
                      <a:avLst/>
                    </a:prstGeom>
                    <a:solidFill>
                      <a:srgbClr val="FFFFFF"/>
                    </a:solidFill>
                    <a:ln w="9525">
                      <a:solidFill>
                        <a:schemeClr val="bg1"/>
                      </a:solidFill>
                      <a:miter lim="800%"/>
                      <a:headEnd/>
                      <a:tailEnd/>
                    </a:ln>
                  </wp:spPr>
                  <wp:txbx>
                    <wne:txbxContent>
                      <w:p w14:paraId="29FBB2CA" w14:textId="15F1D801" w:rsidR="003B2CEB" w:rsidRDefault="003B2CEB" w:rsidP="00D93B9B">
                        <w:pPr>
                          <w:pStyle w:val="BodyText"/>
                          <w:jc w:val="center"/>
                        </w:pPr>
                        <w:r>
                          <w:rPr>
                            <w:noProof/>
                          </w:rPr>
                          <w:drawing>
                            <wp:inline distT="0" distB="0" distL="0" distR="0" wp14:anchorId="79F86611" wp14:editId="18FFFFF5">
                              <wp:extent cx="1318260" cy="1976788"/>
                              <wp:effectExtent l="0" t="0" r="0" b="4445"/>
                              <wp:docPr id="15" name="Picture 15" descr="A diagram of a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descr="A diagram of a proces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319175" cy="197816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580163A6" w14:textId="77777777" w:rsidR="0085763C" w:rsidRDefault="0085763C" w:rsidP="0085763C">
      <w:pPr>
        <w:pStyle w:val="figurecaption"/>
      </w:pPr>
      <w:bookmarkStart w:id="2" w:name="_Ref226677185"/>
      <w:r w:rsidRPr="00465450">
        <w:t>AI decision path: feature extraction, dual-model prediction, guardrail checks, and final triage output.</w:t>
      </w:r>
      <w:bookmarkEnd w:id="2"/>
    </w:p>
    <w:p w14:paraId="4996CA24" w14:textId="77777777" w:rsidR="0085763C" w:rsidRDefault="0085763C" w:rsidP="00BE638A">
      <w:pPr>
        <w:jc w:val="both"/>
      </w:pPr>
    </w:p>
    <w:p w14:paraId="0B60D09F" w14:textId="29D4C636" w:rsidR="0085763C" w:rsidRDefault="0085763C" w:rsidP="0085763C">
      <w:pPr>
        <w:pStyle w:val="Heading2"/>
      </w:pPr>
      <w:r>
        <w:t>Evaluation Protocol and Metrics</w:t>
      </w:r>
    </w:p>
    <w:p w14:paraId="4E4B4246" w14:textId="77777777" w:rsidR="00F758ED" w:rsidRDefault="00F758ED" w:rsidP="00F758ED">
      <w:pPr>
        <w:jc w:val="both"/>
      </w:pPr>
      <w:r>
        <w:t>Evaluation combined technical, workflow, and human-factor dimensions.</w:t>
      </w:r>
    </w:p>
    <w:p w14:paraId="383A5AA3" w14:textId="77777777" w:rsidR="00F758ED" w:rsidRDefault="00F758ED" w:rsidP="00F758ED">
      <w:pPr>
        <w:jc w:val="both"/>
      </w:pPr>
    </w:p>
    <w:p w14:paraId="33B3292C" w14:textId="77777777" w:rsidR="00F758ED" w:rsidRDefault="00F758ED" w:rsidP="00F758ED">
      <w:pPr>
        <w:pStyle w:val="ListParagraph"/>
        <w:numPr>
          <w:ilvl w:val="0"/>
          <w:numId w:val="31"/>
        </w:numPr>
        <w:jc w:val="both"/>
      </w:pPr>
      <w:r>
        <w:t>Technical performance: precision, recall, specificity, F1-score, AUC (where available), and false-negative rate for both risk models.</w:t>
      </w:r>
    </w:p>
    <w:p w14:paraId="5329A06E" w14:textId="77777777" w:rsidR="00F758ED" w:rsidRDefault="00F758ED" w:rsidP="00F758ED">
      <w:pPr>
        <w:pStyle w:val="ListParagraph"/>
        <w:numPr>
          <w:ilvl w:val="0"/>
          <w:numId w:val="31"/>
        </w:numPr>
        <w:jc w:val="both"/>
      </w:pPr>
      <w:r>
        <w:t>Workflow performance: time-to-support, clinician review turnaround, and escalation rate.</w:t>
      </w:r>
    </w:p>
    <w:p w14:paraId="5987DB5D" w14:textId="7015BA3D" w:rsidR="00F758ED" w:rsidRDefault="00F758ED" w:rsidP="00F758ED">
      <w:pPr>
        <w:pStyle w:val="ListParagraph"/>
        <w:numPr>
          <w:ilvl w:val="0"/>
          <w:numId w:val="31"/>
        </w:numPr>
        <w:jc w:val="both"/>
      </w:pPr>
      <w:r>
        <w:t>Human-centered performance: System Usability Scale (SUS), perceived trust, explainability satisfaction, and role-based acceptance.</w:t>
      </w:r>
    </w:p>
    <w:p w14:paraId="674C80EA" w14:textId="6D1039B6" w:rsidR="00F758ED" w:rsidRDefault="00F758ED" w:rsidP="00F758ED">
      <w:pPr>
        <w:jc w:val="both"/>
      </w:pPr>
      <w:r>
        <w:t>A pre-post comparison design was used for workflow indicators where baseline historical process data were available. Threshold calibration used clinician-confirmed labels from pilot outcomes to optimize recall subject to minimum specificity constraints.</w:t>
      </w:r>
    </w:p>
    <w:p w14:paraId="333FDAB0" w14:textId="1713C8EF" w:rsidR="00F758ED" w:rsidRPr="0085763C" w:rsidRDefault="00366096" w:rsidP="00FD502E">
      <w:pPr>
        <w:pStyle w:val="tablehead"/>
      </w:pPr>
      <w:r w:rsidRPr="00366096">
        <w:t>Evaluation dimensions, metrics, and data sources.</w:t>
      </w:r>
    </w:p>
    <w:tbl>
      <w:tblPr>
        <w:tblStyle w:val="TableGrid"/>
        <w:tblW w:w="229.25pt" w:type="dxa"/>
        <w:tblLook w:firstRow="1" w:lastRow="0" w:firstColumn="1" w:lastColumn="0" w:noHBand="0" w:noVBand="1"/>
      </w:tblPr>
      <w:tblGrid>
        <w:gridCol w:w="954"/>
        <w:gridCol w:w="1158"/>
        <w:gridCol w:w="2473"/>
      </w:tblGrid>
      <w:tr w:rsidR="00F758ED" w:rsidRPr="00F758ED" w14:paraId="39AD25C0" w14:textId="77777777" w:rsidTr="00F23F1E">
        <w:tc>
          <w:tcPr>
            <w:tcW w:w="47.70pt" w:type="dxa"/>
            <w:hideMark/>
          </w:tcPr>
          <w:p w14:paraId="02002A8C" w14:textId="77777777" w:rsidR="00F758ED" w:rsidRPr="00F758ED" w:rsidRDefault="00F758ED" w:rsidP="00F758ED">
            <w:pPr>
              <w:rPr>
                <w:rFonts w:eastAsia="Times New Roman"/>
                <w:b/>
                <w:bCs/>
                <w:sz w:val="16"/>
                <w:szCs w:val="16"/>
                <w:lang w:bidi="ta-IN"/>
              </w:rPr>
            </w:pPr>
            <w:r w:rsidRPr="00F758ED">
              <w:rPr>
                <w:rFonts w:eastAsia="Times New Roman"/>
                <w:b/>
                <w:bCs/>
                <w:sz w:val="16"/>
                <w:szCs w:val="16"/>
                <w:lang w:bidi="ta-IN"/>
              </w:rPr>
              <w:t>Dimension</w:t>
            </w:r>
          </w:p>
        </w:tc>
        <w:tc>
          <w:tcPr>
            <w:tcW w:w="57.90pt" w:type="dxa"/>
            <w:hideMark/>
          </w:tcPr>
          <w:p w14:paraId="5B6CDE47" w14:textId="77777777" w:rsidR="00F758ED" w:rsidRPr="00F758ED" w:rsidRDefault="00F758ED" w:rsidP="00F758ED">
            <w:pPr>
              <w:rPr>
                <w:rFonts w:eastAsia="Times New Roman"/>
                <w:b/>
                <w:bCs/>
                <w:sz w:val="16"/>
                <w:szCs w:val="16"/>
                <w:lang w:bidi="ta-IN"/>
              </w:rPr>
            </w:pPr>
            <w:r w:rsidRPr="00F758ED">
              <w:rPr>
                <w:rFonts w:eastAsia="Times New Roman"/>
                <w:b/>
                <w:bCs/>
                <w:sz w:val="16"/>
                <w:szCs w:val="16"/>
                <w:lang w:bidi="ta-IN"/>
              </w:rPr>
              <w:t>Metrics</w:t>
            </w:r>
          </w:p>
        </w:tc>
        <w:tc>
          <w:tcPr>
            <w:tcW w:w="123.65pt" w:type="dxa"/>
            <w:hideMark/>
          </w:tcPr>
          <w:p w14:paraId="7A982415" w14:textId="77777777" w:rsidR="00F758ED" w:rsidRPr="00F758ED" w:rsidRDefault="00F758ED" w:rsidP="00F758ED">
            <w:pPr>
              <w:rPr>
                <w:rFonts w:eastAsia="Times New Roman"/>
                <w:b/>
                <w:bCs/>
                <w:sz w:val="16"/>
                <w:szCs w:val="16"/>
                <w:lang w:bidi="ta-IN"/>
              </w:rPr>
            </w:pPr>
            <w:r w:rsidRPr="00F758ED">
              <w:rPr>
                <w:rFonts w:eastAsia="Times New Roman"/>
                <w:b/>
                <w:bCs/>
                <w:sz w:val="16"/>
                <w:szCs w:val="16"/>
                <w:lang w:bidi="ta-IN"/>
              </w:rPr>
              <w:t>Data Source</w:t>
            </w:r>
          </w:p>
        </w:tc>
      </w:tr>
      <w:tr w:rsidR="00F758ED" w:rsidRPr="00F758ED" w14:paraId="191011E8" w14:textId="77777777" w:rsidTr="00F23F1E">
        <w:tc>
          <w:tcPr>
            <w:tcW w:w="47.70pt" w:type="dxa"/>
            <w:hideMark/>
          </w:tcPr>
          <w:p w14:paraId="428E14C9"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Model quality</w:t>
            </w:r>
          </w:p>
        </w:tc>
        <w:tc>
          <w:tcPr>
            <w:tcW w:w="57.90pt" w:type="dxa"/>
            <w:hideMark/>
          </w:tcPr>
          <w:p w14:paraId="5FC03B49"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Precision, recall, specificity, F1 score, AUC, false negatives</w:t>
            </w:r>
          </w:p>
        </w:tc>
        <w:tc>
          <w:tcPr>
            <w:tcW w:w="123.65pt" w:type="dxa"/>
            <w:hideMark/>
          </w:tcPr>
          <w:p w14:paraId="6CAF384F"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Screening service logs and labeled outcomes</w:t>
            </w:r>
          </w:p>
        </w:tc>
      </w:tr>
      <w:tr w:rsidR="00F758ED" w:rsidRPr="00F758ED" w14:paraId="0CA3F67D" w14:textId="77777777" w:rsidTr="00F23F1E">
        <w:tc>
          <w:tcPr>
            <w:tcW w:w="47.70pt" w:type="dxa"/>
            <w:hideMark/>
          </w:tcPr>
          <w:p w14:paraId="188BB7A4"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Workflow efficiency</w:t>
            </w:r>
          </w:p>
        </w:tc>
        <w:tc>
          <w:tcPr>
            <w:tcW w:w="57.90pt" w:type="dxa"/>
            <w:hideMark/>
          </w:tcPr>
          <w:p w14:paraId="4310D78F"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Time-to-support, review turnaround time, escalation ratio</w:t>
            </w:r>
          </w:p>
        </w:tc>
        <w:tc>
          <w:tcPr>
            <w:tcW w:w="123.65pt" w:type="dxa"/>
            <w:hideMark/>
          </w:tcPr>
          <w:p w14:paraId="782A5FA3"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Process timestamps and audit trail</w:t>
            </w:r>
          </w:p>
        </w:tc>
      </w:tr>
      <w:tr w:rsidR="00F758ED" w:rsidRPr="00F758ED" w14:paraId="4BAAC7F1" w14:textId="77777777" w:rsidTr="00F23F1E">
        <w:tc>
          <w:tcPr>
            <w:tcW w:w="47.70pt" w:type="dxa"/>
            <w:hideMark/>
          </w:tcPr>
          <w:p w14:paraId="0933E012"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Clinical governance</w:t>
            </w:r>
          </w:p>
        </w:tc>
        <w:tc>
          <w:tcPr>
            <w:tcW w:w="57.90pt" w:type="dxa"/>
            <w:hideMark/>
          </w:tcPr>
          <w:p w14:paraId="2627D108"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Confirm/reject agreement, low-confidence routing quality</w:t>
            </w:r>
          </w:p>
        </w:tc>
        <w:tc>
          <w:tcPr>
            <w:tcW w:w="123.65pt" w:type="dxa"/>
            <w:hideMark/>
          </w:tcPr>
          <w:p w14:paraId="608AE61D"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Clinician labels and review records</w:t>
            </w:r>
          </w:p>
        </w:tc>
      </w:tr>
      <w:tr w:rsidR="00F758ED" w:rsidRPr="00F758ED" w14:paraId="739CB514" w14:textId="77777777" w:rsidTr="00F23F1E">
        <w:tc>
          <w:tcPr>
            <w:tcW w:w="47.70pt" w:type="dxa"/>
            <w:hideMark/>
          </w:tcPr>
          <w:p w14:paraId="71C5477B"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User experience</w:t>
            </w:r>
          </w:p>
        </w:tc>
        <w:tc>
          <w:tcPr>
            <w:tcW w:w="57.90pt" w:type="dxa"/>
            <w:hideMark/>
          </w:tcPr>
          <w:p w14:paraId="38543F35"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 xml:space="preserve">SUS (System Usability Scale), trust score, </w:t>
            </w:r>
            <w:r w:rsidRPr="00F758ED">
              <w:rPr>
                <w:rFonts w:eastAsia="Times New Roman"/>
                <w:sz w:val="16"/>
                <w:szCs w:val="16"/>
                <w:lang w:bidi="ta-IN"/>
              </w:rPr>
              <w:t>perceived transparency</w:t>
            </w:r>
          </w:p>
        </w:tc>
        <w:tc>
          <w:tcPr>
            <w:tcW w:w="123.65pt" w:type="dxa"/>
            <w:hideMark/>
          </w:tcPr>
          <w:p w14:paraId="1309A21C" w14:textId="77777777" w:rsidR="00F758ED" w:rsidRPr="00F758ED" w:rsidRDefault="00F758ED" w:rsidP="00F758ED">
            <w:pPr>
              <w:jc w:val="start"/>
              <w:rPr>
                <w:rFonts w:eastAsia="Times New Roman"/>
                <w:sz w:val="16"/>
                <w:szCs w:val="16"/>
                <w:lang w:bidi="ta-IN"/>
              </w:rPr>
            </w:pPr>
            <w:r w:rsidRPr="00F758ED">
              <w:rPr>
                <w:rFonts w:eastAsia="Times New Roman"/>
                <w:sz w:val="16"/>
                <w:szCs w:val="16"/>
                <w:lang w:bidi="ta-IN"/>
              </w:rPr>
              <w:t>Post-use questionnaires and interviews</w:t>
            </w:r>
          </w:p>
        </w:tc>
      </w:tr>
    </w:tbl>
    <w:p w14:paraId="2F3D707E" w14:textId="2F0CF499" w:rsidR="00465450" w:rsidRDefault="00465450" w:rsidP="00BE638A">
      <w:pPr>
        <w:jc w:val="both"/>
      </w:pPr>
    </w:p>
    <w:p w14:paraId="428C5375" w14:textId="319404A6" w:rsidR="00BE6D58" w:rsidRDefault="00BE6D58" w:rsidP="00BE6D58">
      <w:pPr>
        <w:pStyle w:val="Heading2"/>
      </w:pPr>
      <w:r w:rsidRPr="00BE6D58">
        <w:t>Statistical and Qualitative Analysis</w:t>
      </w:r>
    </w:p>
    <w:p w14:paraId="2D4E4886" w14:textId="77777777" w:rsidR="00D20A7F" w:rsidRDefault="00D20A7F" w:rsidP="00D20A7F">
      <w:pPr>
        <w:jc w:val="both"/>
      </w:pPr>
      <w:r>
        <w:t xml:space="preserve">Quantitative analysis was conducted using descriptive statistics and inferential tests suitable for sample size and distribution assumptions. </w:t>
      </w:r>
    </w:p>
    <w:p w14:paraId="6EF87EC3" w14:textId="77777777" w:rsidR="00D20A7F" w:rsidRDefault="00D20A7F" w:rsidP="00D20A7F">
      <w:pPr>
        <w:jc w:val="both"/>
      </w:pPr>
    </w:p>
    <w:p w14:paraId="051CF1B8" w14:textId="2F411612" w:rsidR="00D20A7F" w:rsidRDefault="00D20A7F" w:rsidP="00D20A7F">
      <w:pPr>
        <w:jc w:val="both"/>
      </w:pPr>
      <w:r>
        <w:t>Recommended analysis plan:</w:t>
      </w:r>
    </w:p>
    <w:p w14:paraId="4271E574" w14:textId="77777777" w:rsidR="00D20A7F" w:rsidRDefault="00D20A7F" w:rsidP="00D20A7F">
      <w:pPr>
        <w:jc w:val="both"/>
      </w:pPr>
    </w:p>
    <w:p w14:paraId="5234B542" w14:textId="77777777" w:rsidR="00D20A7F" w:rsidRDefault="00D20A7F" w:rsidP="00D20A7F">
      <w:pPr>
        <w:pStyle w:val="ListParagraph"/>
        <w:numPr>
          <w:ilvl w:val="0"/>
          <w:numId w:val="32"/>
        </w:numPr>
        <w:jc w:val="both"/>
      </w:pPr>
      <w:r>
        <w:t>Descriptive summaries: mean, median, standard deviation, and confidence intervals.</w:t>
      </w:r>
    </w:p>
    <w:p w14:paraId="081DB88F" w14:textId="77777777" w:rsidR="00D20A7F" w:rsidRDefault="00D20A7F" w:rsidP="00D20A7F">
      <w:pPr>
        <w:pStyle w:val="ListParagraph"/>
        <w:numPr>
          <w:ilvl w:val="0"/>
          <w:numId w:val="32"/>
        </w:numPr>
        <w:jc w:val="both"/>
      </w:pPr>
      <w:r>
        <w:t>Pre-post or between-group tests: paired t-test or Wilcoxon signed-rank for non-normal data.</w:t>
      </w:r>
    </w:p>
    <w:p w14:paraId="728FC07A" w14:textId="77777777" w:rsidR="00D20A7F" w:rsidRDefault="00D20A7F" w:rsidP="00D20A7F">
      <w:pPr>
        <w:pStyle w:val="ListParagraph"/>
        <w:numPr>
          <w:ilvl w:val="0"/>
          <w:numId w:val="32"/>
        </w:numPr>
        <w:jc w:val="both"/>
      </w:pPr>
      <w:r>
        <w:t>Categorical outcomes: chi-square or Fisher exact test.</w:t>
      </w:r>
    </w:p>
    <w:p w14:paraId="329369F1" w14:textId="7C4B5F30" w:rsidR="00D20A7F" w:rsidRDefault="00D20A7F" w:rsidP="00D20A7F">
      <w:pPr>
        <w:pStyle w:val="ListParagraph"/>
        <w:numPr>
          <w:ilvl w:val="0"/>
          <w:numId w:val="32"/>
        </w:numPr>
        <w:jc w:val="both"/>
      </w:pPr>
      <w:r>
        <w:t>Effect size reporting: Cohen d or rank-based equivalents.</w:t>
      </w:r>
    </w:p>
    <w:p w14:paraId="1F105F23" w14:textId="57796EED" w:rsidR="00BE6D58" w:rsidRDefault="00D20A7F" w:rsidP="00D20A7F">
      <w:pPr>
        <w:jc w:val="both"/>
      </w:pPr>
      <w:r>
        <w:t>Qualitative feedback from clinicians, employees, and HR managers was analyzed using thematic analysis to identify usability barriers, trust drivers, and governance concerns. Triangulation was used to integrate quantitative outcomes with qualitative findings.</w:t>
      </w:r>
    </w:p>
    <w:p w14:paraId="68A16697" w14:textId="12E9AFA9" w:rsidR="00D634E1" w:rsidRDefault="00D634E1" w:rsidP="00D20A7F">
      <w:pPr>
        <w:jc w:val="both"/>
      </w:pPr>
    </w:p>
    <w:p w14:paraId="0EF161C8" w14:textId="316A2146" w:rsidR="00D634E1" w:rsidRDefault="00D634E1" w:rsidP="00D634E1">
      <w:pPr>
        <w:pStyle w:val="Heading2"/>
      </w:pPr>
      <w:r w:rsidRPr="00D634E1">
        <w:t>Ethics, Privacy, and Governance</w:t>
      </w:r>
    </w:p>
    <w:p w14:paraId="77384CAA" w14:textId="77777777" w:rsidR="00D93B9B" w:rsidRDefault="00D93B9B" w:rsidP="00D93B9B">
      <w:pPr>
        <w:jc w:val="both"/>
      </w:pPr>
      <w:r>
        <w:t>The methodology incorporated privacy-by-design and human oversight:</w:t>
      </w:r>
    </w:p>
    <w:p w14:paraId="45E20314" w14:textId="77777777" w:rsidR="00D93B9B" w:rsidRDefault="00D93B9B" w:rsidP="00D93B9B">
      <w:pPr>
        <w:jc w:val="both"/>
      </w:pPr>
    </w:p>
    <w:p w14:paraId="666E4723" w14:textId="77777777" w:rsidR="00D93B9B" w:rsidRDefault="00D93B9B" w:rsidP="00D93B9B">
      <w:pPr>
        <w:pStyle w:val="ListParagraph"/>
        <w:numPr>
          <w:ilvl w:val="0"/>
          <w:numId w:val="33"/>
        </w:numPr>
        <w:jc w:val="both"/>
      </w:pPr>
      <w:r>
        <w:t>Informed consent gating before screening.</w:t>
      </w:r>
    </w:p>
    <w:p w14:paraId="5BCE0465" w14:textId="77777777" w:rsidR="00D93B9B" w:rsidRDefault="00D93B9B" w:rsidP="00D93B9B">
      <w:pPr>
        <w:pStyle w:val="ListParagraph"/>
        <w:numPr>
          <w:ilvl w:val="0"/>
          <w:numId w:val="33"/>
        </w:numPr>
        <w:jc w:val="both"/>
      </w:pPr>
      <w:r>
        <w:t>Role-based access control for all interfaces.</w:t>
      </w:r>
    </w:p>
    <w:p w14:paraId="490ACCDF" w14:textId="77777777" w:rsidR="00D93B9B" w:rsidRDefault="00D93B9B" w:rsidP="00D93B9B">
      <w:pPr>
        <w:pStyle w:val="ListParagraph"/>
        <w:numPr>
          <w:ilvl w:val="0"/>
          <w:numId w:val="33"/>
        </w:numPr>
        <w:jc w:val="both"/>
      </w:pPr>
      <w:r>
        <w:t>Audit logging of scoring, thresholds, and clinician decisions.</w:t>
      </w:r>
    </w:p>
    <w:p w14:paraId="5267FDE7" w14:textId="77777777" w:rsidR="00D93B9B" w:rsidRDefault="00D93B9B" w:rsidP="00D93B9B">
      <w:pPr>
        <w:pStyle w:val="ListParagraph"/>
        <w:numPr>
          <w:ilvl w:val="0"/>
          <w:numId w:val="33"/>
        </w:numPr>
        <w:jc w:val="both"/>
      </w:pPr>
      <w:r>
        <w:t>Restricted language to screening risk, not autonomous diagnosis.</w:t>
      </w:r>
    </w:p>
    <w:p w14:paraId="3CF5ECB1" w14:textId="62BB9C4C" w:rsidR="00D93B9B" w:rsidRDefault="00D93B9B" w:rsidP="00D93B9B">
      <w:pPr>
        <w:pStyle w:val="ListParagraph"/>
        <w:numPr>
          <w:ilvl w:val="0"/>
          <w:numId w:val="33"/>
        </w:numPr>
        <w:jc w:val="both"/>
      </w:pPr>
      <w:r>
        <w:t>Clinician override and confirmation at high-risk or low-confidence points.</w:t>
      </w:r>
    </w:p>
    <w:p w14:paraId="4F8B43EF" w14:textId="41862954" w:rsidR="005D3AA3" w:rsidRPr="005D3AA3" w:rsidRDefault="00D93B9B" w:rsidP="00D93B9B">
      <w:pPr>
        <w:jc w:val="both"/>
      </w:pPr>
      <w:r>
        <w:t>Data handling and governance procedures were aligned with HIPAA/GDPR principles for minimization, controlled access, and traceability.</w:t>
      </w:r>
    </w:p>
    <w:p w14:paraId="76B3A929" w14:textId="4141D42F" w:rsidR="00153991" w:rsidRDefault="00153991" w:rsidP="00D20A7F">
      <w:pPr>
        <w:jc w:val="both"/>
      </w:pPr>
    </w:p>
    <w:p w14:paraId="1575EE89" w14:textId="47AB1761" w:rsidR="000970BF" w:rsidRDefault="000970BF" w:rsidP="00D20A7F">
      <w:pPr>
        <w:jc w:val="both"/>
      </w:pPr>
    </w:p>
    <w:p w14:paraId="09ACB46A" w14:textId="4192079F" w:rsidR="000970BF" w:rsidRDefault="000970BF" w:rsidP="00D20A7F">
      <w:pPr>
        <w:jc w:val="both"/>
      </w:pPr>
    </w:p>
    <w:p w14:paraId="1A3B32AF" w14:textId="6C1427D5" w:rsidR="000970BF" w:rsidRDefault="000970BF" w:rsidP="00D20A7F">
      <w:pPr>
        <w:jc w:val="both"/>
      </w:pPr>
    </w:p>
    <w:p w14:paraId="5C49026D" w14:textId="77EEE6BC" w:rsidR="000970BF" w:rsidRDefault="000970BF" w:rsidP="00D20A7F">
      <w:pPr>
        <w:jc w:val="both"/>
      </w:pPr>
    </w:p>
    <w:p w14:paraId="2316C404" w14:textId="3B6AA1E6" w:rsidR="000970BF" w:rsidRDefault="000970BF" w:rsidP="00D20A7F">
      <w:pPr>
        <w:jc w:val="both"/>
      </w:pPr>
    </w:p>
    <w:p w14:paraId="04D1C33C" w14:textId="7E3B7DA1" w:rsidR="000970BF" w:rsidRDefault="000970BF" w:rsidP="00D20A7F">
      <w:pPr>
        <w:jc w:val="both"/>
      </w:pPr>
    </w:p>
    <w:p w14:paraId="4B4F8977" w14:textId="45597D5C" w:rsidR="000970BF" w:rsidRDefault="000970BF" w:rsidP="00D20A7F">
      <w:pPr>
        <w:jc w:val="both"/>
      </w:pPr>
    </w:p>
    <w:p w14:paraId="152B182D" w14:textId="314B4373" w:rsidR="000970BF" w:rsidRDefault="000970BF" w:rsidP="00D20A7F">
      <w:pPr>
        <w:jc w:val="both"/>
      </w:pPr>
    </w:p>
    <w:p w14:paraId="2F676919" w14:textId="2D37A126" w:rsidR="000970BF" w:rsidRDefault="000970BF" w:rsidP="00D20A7F">
      <w:pPr>
        <w:jc w:val="both"/>
      </w:pPr>
    </w:p>
    <w:p w14:paraId="2058840A" w14:textId="29F7C6E7" w:rsidR="000970BF" w:rsidRDefault="000970BF" w:rsidP="000970BF">
      <w:pPr>
        <w:pStyle w:val="BodyText"/>
        <w:jc w:val="center"/>
      </w:pPr>
      <w:r>
        <w:rPr>
          <w:noProof/>
        </w:rPr>
        <w:lastRenderedPageBreak/>
        <w:drawing>
          <wp:inline distT="0" distB="0" distL="0" distR="0" wp14:anchorId="2779B25B" wp14:editId="02BC17C4">
            <wp:extent cx="1559859" cy="2339076"/>
            <wp:effectExtent l="0" t="0" r="2540" b="4445"/>
            <wp:docPr id="18" name="Picture 18" descr="A diagram of a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2" descr="A diagram of a proces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4092" cy="2360419"/>
                    </a:xfrm>
                    <a:prstGeom prst="rect">
                      <a:avLst/>
                    </a:prstGeom>
                  </pic:spPr>
                </pic:pic>
              </a:graphicData>
            </a:graphic>
          </wp:inline>
        </w:drawing>
      </w:r>
    </w:p>
    <w:p w14:paraId="46D3226E" w14:textId="77777777" w:rsidR="000970BF" w:rsidRDefault="000970BF" w:rsidP="00D20A7F">
      <w:pPr>
        <w:jc w:val="both"/>
      </w:pPr>
    </w:p>
    <w:p w14:paraId="6ADAB04F" w14:textId="177BC913" w:rsidR="00D20A7F" w:rsidRDefault="00153991" w:rsidP="00153991">
      <w:pPr>
        <w:pStyle w:val="figurecaption"/>
      </w:pPr>
      <w:r w:rsidRPr="00153991">
        <w:t>Governance model for consent, access control, auditability, and human-in-the-loop decision authority.</w:t>
      </w:r>
    </w:p>
    <w:p w14:paraId="42CD3244" w14:textId="0CF80854" w:rsidR="009303D9" w:rsidRPr="005B520E" w:rsidRDefault="00760A87" w:rsidP="00760A87">
      <w:pPr>
        <w:pStyle w:val="Heading1"/>
      </w:pPr>
      <w:r>
        <w:t>Results</w:t>
      </w:r>
    </w:p>
    <w:p w14:paraId="550E2495" w14:textId="71EE518F" w:rsidR="009303D9" w:rsidRDefault="00760A87" w:rsidP="00ED0149">
      <w:pPr>
        <w:pStyle w:val="Heading2"/>
      </w:pPr>
      <w:r w:rsidRPr="00760A87">
        <w:t>Pilot Summary</w:t>
      </w:r>
    </w:p>
    <w:p w14:paraId="1A9E45B8" w14:textId="0C207FF7" w:rsidR="009303D9" w:rsidRDefault="00F30B48" w:rsidP="00E7596C">
      <w:pPr>
        <w:pStyle w:val="BodyText"/>
      </w:pPr>
      <w:r w:rsidRPr="00F30B48">
        <w:t xml:space="preserve">The pilot included 87 participants (54 employees, 18 clinicians, 15 HR managers; </w:t>
      </w:r>
      <w:r w:rsidR="000D20DF">
        <w:fldChar w:fldCharType="begin"/>
      </w:r>
      <w:r w:rsidR="000D20DF">
        <w:instrText xml:space="preserve"> REF _Ref226677131 \r \h </w:instrText>
      </w:r>
      <w:r w:rsidR="000D20DF">
        <w:fldChar w:fldCharType="separate"/>
      </w:r>
      <w:r w:rsidR="000D20DF">
        <w:t xml:space="preserve">TABLE I. </w:t>
      </w:r>
      <w:r w:rsidR="000D20DF">
        <w:fldChar w:fldCharType="end"/>
      </w:r>
      <w:r w:rsidRPr="00F30B48">
        <w:t>). From 54 questionnaires, 49 (90.7%) passed guardrails and 5 (9.3%) were inconclusive due to low-evidence or contradiction checks (</w:t>
      </w:r>
      <w:r w:rsidR="000D20DF">
        <w:fldChar w:fldCharType="begin"/>
      </w:r>
      <w:r w:rsidR="000D20DF">
        <w:instrText xml:space="preserve"> REF _Ref226677151 \r \h </w:instrText>
      </w:r>
      <w:r w:rsidR="000D20DF">
        <w:fldChar w:fldCharType="separate"/>
      </w:r>
      <w:r w:rsidR="000D20DF">
        <w:t xml:space="preserve">TABLE II. </w:t>
      </w:r>
      <w:r w:rsidR="000D20DF">
        <w:fldChar w:fldCharType="end"/>
      </w:r>
      <w:r w:rsidRPr="00F30B48">
        <w:t xml:space="preserve">, </w:t>
      </w:r>
      <w:r w:rsidR="000D20DF">
        <w:fldChar w:fldCharType="begin"/>
      </w:r>
      <w:r w:rsidR="000D20DF">
        <w:instrText xml:space="preserve"> REF _Ref226677185 \r \h </w:instrText>
      </w:r>
      <w:r w:rsidR="000D20DF">
        <w:fldChar w:fldCharType="separate"/>
      </w:r>
      <w:r w:rsidR="000D20DF">
        <w:t>Fig. 3</w:t>
      </w:r>
      <w:r w:rsidR="000D20DF">
        <w:fldChar w:fldCharType="end"/>
      </w:r>
      <w:r w:rsidRPr="00F30B48">
        <w:t>).</w:t>
      </w:r>
    </w:p>
    <w:p w14:paraId="55D9D2A3" w14:textId="2ED00075" w:rsidR="00CF2F5D" w:rsidRDefault="00CF2F5D" w:rsidP="00CF2F5D">
      <w:pPr>
        <w:pStyle w:val="tablehead"/>
      </w:pPr>
      <w:r w:rsidRPr="00CF2F5D">
        <w:t>PILOT SUBMISSION SUMMARY</w:t>
      </w:r>
    </w:p>
    <w:tbl>
      <w:tblPr>
        <w:tblStyle w:val="TableGrid"/>
        <w:tblW w:w="202.50pt" w:type="dxa"/>
        <w:jc w:val="center"/>
        <w:tblLook w:firstRow="1" w:lastRow="0" w:firstColumn="1" w:lastColumn="0" w:noHBand="0" w:noVBand="1"/>
      </w:tblPr>
      <w:tblGrid>
        <w:gridCol w:w="1759"/>
        <w:gridCol w:w="2291"/>
      </w:tblGrid>
      <w:tr w:rsidR="00CF2F5D" w:rsidRPr="00CF2F5D" w14:paraId="33E0A326" w14:textId="77777777" w:rsidTr="000970BF">
        <w:trPr>
          <w:jc w:val="center"/>
        </w:trPr>
        <w:tc>
          <w:tcPr>
            <w:tcW w:w="87.95pt" w:type="dxa"/>
            <w:hideMark/>
          </w:tcPr>
          <w:p w14:paraId="63CCD93C" w14:textId="77777777" w:rsidR="00CF2F5D" w:rsidRPr="00CF2F5D" w:rsidRDefault="00CF2F5D" w:rsidP="00CF2F5D">
            <w:pPr>
              <w:rPr>
                <w:rFonts w:eastAsia="Times New Roman"/>
                <w:b/>
                <w:bCs/>
                <w:sz w:val="16"/>
                <w:szCs w:val="16"/>
                <w:lang w:bidi="ta-IN"/>
              </w:rPr>
            </w:pPr>
            <w:r w:rsidRPr="00CF2F5D">
              <w:rPr>
                <w:rFonts w:eastAsia="Times New Roman"/>
                <w:b/>
                <w:bCs/>
                <w:sz w:val="16"/>
                <w:szCs w:val="16"/>
                <w:lang w:bidi="ta-IN"/>
              </w:rPr>
              <w:t>Item</w:t>
            </w:r>
          </w:p>
        </w:tc>
        <w:tc>
          <w:tcPr>
            <w:tcW w:w="114.55pt" w:type="dxa"/>
            <w:hideMark/>
          </w:tcPr>
          <w:p w14:paraId="44B6CCEE" w14:textId="77777777" w:rsidR="00CF2F5D" w:rsidRPr="00CF2F5D" w:rsidRDefault="00CF2F5D" w:rsidP="00CF2F5D">
            <w:pPr>
              <w:rPr>
                <w:rFonts w:eastAsia="Times New Roman"/>
                <w:b/>
                <w:bCs/>
                <w:sz w:val="16"/>
                <w:szCs w:val="16"/>
                <w:lang w:bidi="ta-IN"/>
              </w:rPr>
            </w:pPr>
            <w:r w:rsidRPr="00CF2F5D">
              <w:rPr>
                <w:rFonts w:eastAsia="Times New Roman"/>
                <w:b/>
                <w:bCs/>
                <w:sz w:val="16"/>
                <w:szCs w:val="16"/>
                <w:lang w:bidi="ta-IN"/>
              </w:rPr>
              <w:t>Value</w:t>
            </w:r>
          </w:p>
        </w:tc>
      </w:tr>
      <w:tr w:rsidR="00CF2F5D" w:rsidRPr="00CF2F5D" w14:paraId="0F976CD0" w14:textId="77777777" w:rsidTr="000970BF">
        <w:trPr>
          <w:trHeight w:val="54"/>
          <w:jc w:val="center"/>
        </w:trPr>
        <w:tc>
          <w:tcPr>
            <w:tcW w:w="87.95pt" w:type="dxa"/>
            <w:hideMark/>
          </w:tcPr>
          <w:p w14:paraId="4BDFB6BB"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Total employee submissions</w:t>
            </w:r>
          </w:p>
        </w:tc>
        <w:tc>
          <w:tcPr>
            <w:tcW w:w="114.55pt" w:type="dxa"/>
            <w:hideMark/>
          </w:tcPr>
          <w:p w14:paraId="6071FA2D"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54</w:t>
            </w:r>
          </w:p>
        </w:tc>
      </w:tr>
      <w:tr w:rsidR="00CF2F5D" w:rsidRPr="00CF2F5D" w14:paraId="2816C5A3" w14:textId="77777777" w:rsidTr="000970BF">
        <w:trPr>
          <w:jc w:val="center"/>
        </w:trPr>
        <w:tc>
          <w:tcPr>
            <w:tcW w:w="87.95pt" w:type="dxa"/>
            <w:hideMark/>
          </w:tcPr>
          <w:p w14:paraId="3F362095"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Passed guardrails</w:t>
            </w:r>
          </w:p>
        </w:tc>
        <w:tc>
          <w:tcPr>
            <w:tcW w:w="114.55pt" w:type="dxa"/>
            <w:hideMark/>
          </w:tcPr>
          <w:p w14:paraId="1A8CD6BD"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49 (90.7%)</w:t>
            </w:r>
          </w:p>
        </w:tc>
      </w:tr>
      <w:tr w:rsidR="00CF2F5D" w:rsidRPr="00CF2F5D" w14:paraId="76A9AC56" w14:textId="77777777" w:rsidTr="000970BF">
        <w:trPr>
          <w:jc w:val="center"/>
        </w:trPr>
        <w:tc>
          <w:tcPr>
            <w:tcW w:w="87.95pt" w:type="dxa"/>
            <w:hideMark/>
          </w:tcPr>
          <w:p w14:paraId="0CA8C1CE"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Inconclusive after QC</w:t>
            </w:r>
          </w:p>
        </w:tc>
        <w:tc>
          <w:tcPr>
            <w:tcW w:w="114.55pt" w:type="dxa"/>
            <w:hideMark/>
          </w:tcPr>
          <w:p w14:paraId="411FA92B"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5 (9.3%)</w:t>
            </w:r>
          </w:p>
        </w:tc>
      </w:tr>
      <w:tr w:rsidR="00CF2F5D" w:rsidRPr="00CF2F5D" w14:paraId="7D39829F" w14:textId="77777777" w:rsidTr="000970BF">
        <w:trPr>
          <w:jc w:val="center"/>
        </w:trPr>
        <w:tc>
          <w:tcPr>
            <w:tcW w:w="87.95pt" w:type="dxa"/>
            <w:hideMark/>
          </w:tcPr>
          <w:p w14:paraId="664557A6"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Employee participants</w:t>
            </w:r>
          </w:p>
        </w:tc>
        <w:tc>
          <w:tcPr>
            <w:tcW w:w="114.55pt" w:type="dxa"/>
            <w:hideMark/>
          </w:tcPr>
          <w:p w14:paraId="0D40779D"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54</w:t>
            </w:r>
          </w:p>
        </w:tc>
      </w:tr>
      <w:tr w:rsidR="00CF2F5D" w:rsidRPr="00CF2F5D" w14:paraId="6C419283" w14:textId="77777777" w:rsidTr="000970BF">
        <w:trPr>
          <w:jc w:val="center"/>
        </w:trPr>
        <w:tc>
          <w:tcPr>
            <w:tcW w:w="87.95pt" w:type="dxa"/>
            <w:hideMark/>
          </w:tcPr>
          <w:p w14:paraId="2254FDA2"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Clinician participants</w:t>
            </w:r>
          </w:p>
        </w:tc>
        <w:tc>
          <w:tcPr>
            <w:tcW w:w="114.55pt" w:type="dxa"/>
            <w:hideMark/>
          </w:tcPr>
          <w:p w14:paraId="3192EAAC"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18</w:t>
            </w:r>
          </w:p>
        </w:tc>
      </w:tr>
      <w:tr w:rsidR="00CF2F5D" w:rsidRPr="00CF2F5D" w14:paraId="30CC044F" w14:textId="77777777" w:rsidTr="000970BF">
        <w:trPr>
          <w:jc w:val="center"/>
        </w:trPr>
        <w:tc>
          <w:tcPr>
            <w:tcW w:w="87.95pt" w:type="dxa"/>
            <w:hideMark/>
          </w:tcPr>
          <w:p w14:paraId="2A9E971D"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HR manager participants</w:t>
            </w:r>
          </w:p>
        </w:tc>
        <w:tc>
          <w:tcPr>
            <w:tcW w:w="114.55pt" w:type="dxa"/>
            <w:hideMark/>
          </w:tcPr>
          <w:p w14:paraId="21180030" w14:textId="77777777" w:rsidR="00CF2F5D" w:rsidRPr="00CF2F5D" w:rsidRDefault="00CF2F5D" w:rsidP="00CF2F5D">
            <w:pPr>
              <w:rPr>
                <w:rFonts w:eastAsia="Times New Roman"/>
                <w:sz w:val="16"/>
                <w:szCs w:val="16"/>
                <w:lang w:bidi="ta-IN"/>
              </w:rPr>
            </w:pPr>
            <w:r w:rsidRPr="00CF2F5D">
              <w:rPr>
                <w:rFonts w:eastAsia="Times New Roman"/>
                <w:sz w:val="16"/>
                <w:szCs w:val="16"/>
                <w:lang w:bidi="ta-IN"/>
              </w:rPr>
              <w:t>15</w:t>
            </w:r>
          </w:p>
        </w:tc>
      </w:tr>
    </w:tbl>
    <w:p w14:paraId="4AC68130" w14:textId="029C162C" w:rsidR="006F6D3D" w:rsidRDefault="006F6D3D" w:rsidP="00080AAE">
      <w:pPr>
        <w:pStyle w:val="Heading3"/>
        <w:numPr>
          <w:ilvl w:val="0"/>
          <w:numId w:val="0"/>
        </w:numPr>
        <w:rPr>
          <w:i w:val="0"/>
          <w:iCs w:val="0"/>
        </w:rPr>
      </w:pPr>
    </w:p>
    <w:p w14:paraId="3C56E4E8" w14:textId="25A70844" w:rsidR="009303D9" w:rsidRDefault="00080AAE" w:rsidP="00ED0149">
      <w:pPr>
        <w:pStyle w:val="Heading2"/>
      </w:pPr>
      <w:r w:rsidRPr="00080AAE">
        <w:t>Model Performance</w:t>
      </w:r>
    </w:p>
    <w:p w14:paraId="1B7223DD" w14:textId="002C8A41" w:rsidR="009303D9" w:rsidRDefault="00082EE5" w:rsidP="00082EE5">
      <w:pPr>
        <w:pStyle w:val="BodyText"/>
      </w:pPr>
      <w:r w:rsidRPr="00082EE5">
        <w:t>Dual XGBoost screening performance is reported in **Table V**. Model A (dyslexia) outperformed Model B (dyscalculia): accuracy 0.88 vs 0.85, precision 0.86 vs 0.83, recall 0.91 vs 0.87, F1 0.88 vs 0.85, AUC 0.93 vs 0.90, and false-negative rate 0.09 vs 0.13. This indicates strong screening discrimination with recall-prioritized tuning. Outcome distribution across QC-passed cases: combined risk 12.2%, dyslexia-only 28.6%, dyscalculia-only 16.3%, low-risk 34.7%, and low-confidence escalation 8.2% (**Fig. 5**, **Fig. 6**).</w:t>
      </w:r>
    </w:p>
    <w:p w14:paraId="47C08FDE" w14:textId="5D19DEB9" w:rsidR="00A07E7D" w:rsidRDefault="00A07E7D" w:rsidP="00A07E7D">
      <w:pPr>
        <w:pStyle w:val="tablehead"/>
        <w:rPr>
          <w:color w:val="000000" w:themeColor="text1"/>
        </w:rPr>
      </w:pPr>
      <w:r w:rsidRPr="00A07E7D">
        <w:rPr>
          <w:color w:val="000000" w:themeColor="text1"/>
        </w:rPr>
        <w:t>SCREENING MODEL PERFORMANCE</w:t>
      </w:r>
      <w:r w:rsidR="00402212">
        <w:rPr>
          <w:color w:val="000000" w:themeColor="text1"/>
        </w:rPr>
        <w:t xml:space="preserve"> </w:t>
      </w:r>
    </w:p>
    <w:tbl>
      <w:tblPr>
        <w:tblStyle w:val="TableGrid"/>
        <w:tblW w:w="243pt" w:type="dxa"/>
        <w:jc w:val="end"/>
        <w:tblLook w:firstRow="1" w:lastRow="0" w:firstColumn="1" w:lastColumn="0" w:noHBand="0" w:noVBand="1"/>
      </w:tblPr>
      <w:tblGrid>
        <w:gridCol w:w="1025"/>
        <w:gridCol w:w="1135"/>
        <w:gridCol w:w="929"/>
        <w:gridCol w:w="1006"/>
        <w:gridCol w:w="765"/>
      </w:tblGrid>
      <w:tr w:rsidR="00402212" w:rsidRPr="00402212" w14:paraId="57BB58DD" w14:textId="77777777" w:rsidTr="00402212">
        <w:trPr>
          <w:jc w:val="end"/>
        </w:trPr>
        <w:tc>
          <w:tcPr>
            <w:tcW w:w="42.50pt" w:type="dxa"/>
            <w:hideMark/>
          </w:tcPr>
          <w:p w14:paraId="5B2E6D86" w14:textId="77777777" w:rsidR="00402212" w:rsidRPr="00402212" w:rsidRDefault="00402212" w:rsidP="00402212">
            <w:pPr>
              <w:rPr>
                <w:rFonts w:eastAsia="Times New Roman"/>
                <w:b/>
                <w:bCs/>
                <w:sz w:val="16"/>
                <w:szCs w:val="16"/>
                <w:lang w:bidi="ta-IN"/>
              </w:rPr>
            </w:pPr>
            <w:r w:rsidRPr="00402212">
              <w:rPr>
                <w:rFonts w:eastAsia="Times New Roman"/>
                <w:b/>
                <w:bCs/>
                <w:sz w:val="16"/>
                <w:szCs w:val="16"/>
                <w:lang w:bidi="ta-IN"/>
              </w:rPr>
              <w:t>Section</w:t>
            </w:r>
          </w:p>
        </w:tc>
        <w:tc>
          <w:tcPr>
            <w:tcW w:w="59.60pt" w:type="dxa"/>
            <w:hideMark/>
          </w:tcPr>
          <w:p w14:paraId="1F2C880C" w14:textId="77777777" w:rsidR="00402212" w:rsidRPr="00402212" w:rsidRDefault="00402212" w:rsidP="00402212">
            <w:pPr>
              <w:rPr>
                <w:rFonts w:eastAsia="Times New Roman"/>
                <w:b/>
                <w:bCs/>
                <w:sz w:val="16"/>
                <w:szCs w:val="16"/>
                <w:lang w:bidi="ta-IN"/>
              </w:rPr>
            </w:pPr>
            <w:r w:rsidRPr="00402212">
              <w:rPr>
                <w:rFonts w:eastAsia="Times New Roman"/>
                <w:b/>
                <w:bCs/>
                <w:sz w:val="16"/>
                <w:szCs w:val="16"/>
                <w:lang w:bidi="ta-IN"/>
              </w:rPr>
              <w:t>Metric / Outcome</w:t>
            </w:r>
          </w:p>
        </w:tc>
        <w:tc>
          <w:tcPr>
            <w:tcW w:w="49.95pt" w:type="dxa"/>
            <w:hideMark/>
          </w:tcPr>
          <w:p w14:paraId="0A6BEA16" w14:textId="77777777" w:rsidR="00402212" w:rsidRPr="00402212" w:rsidRDefault="00402212" w:rsidP="00402212">
            <w:pPr>
              <w:rPr>
                <w:rFonts w:eastAsia="Times New Roman"/>
                <w:b/>
                <w:bCs/>
                <w:sz w:val="16"/>
                <w:szCs w:val="16"/>
                <w:lang w:bidi="ta-IN"/>
              </w:rPr>
            </w:pPr>
            <w:r w:rsidRPr="00402212">
              <w:rPr>
                <w:rFonts w:eastAsia="Times New Roman"/>
                <w:b/>
                <w:bCs/>
                <w:sz w:val="16"/>
                <w:szCs w:val="16"/>
                <w:lang w:bidi="ta-IN"/>
              </w:rPr>
              <w:t>Dyslexia Model</w:t>
            </w:r>
          </w:p>
        </w:tc>
        <w:tc>
          <w:tcPr>
            <w:tcW w:w="50.45pt" w:type="dxa"/>
            <w:hideMark/>
          </w:tcPr>
          <w:p w14:paraId="69000A88" w14:textId="77777777" w:rsidR="00402212" w:rsidRPr="00402212" w:rsidRDefault="00402212" w:rsidP="00402212">
            <w:pPr>
              <w:rPr>
                <w:rFonts w:eastAsia="Times New Roman"/>
                <w:b/>
                <w:bCs/>
                <w:sz w:val="16"/>
                <w:szCs w:val="16"/>
                <w:lang w:bidi="ta-IN"/>
              </w:rPr>
            </w:pPr>
            <w:r w:rsidRPr="00402212">
              <w:rPr>
                <w:rFonts w:eastAsia="Times New Roman"/>
                <w:b/>
                <w:bCs/>
                <w:sz w:val="16"/>
                <w:szCs w:val="16"/>
                <w:lang w:bidi="ta-IN"/>
              </w:rPr>
              <w:t>Dyscalculia Model</w:t>
            </w:r>
          </w:p>
        </w:tc>
        <w:tc>
          <w:tcPr>
            <w:tcW w:w="40.50pt" w:type="dxa"/>
            <w:hideMark/>
          </w:tcPr>
          <w:p w14:paraId="41A0FA9E" w14:textId="77777777" w:rsidR="00402212" w:rsidRPr="00402212" w:rsidRDefault="00402212" w:rsidP="00402212">
            <w:pPr>
              <w:rPr>
                <w:rFonts w:eastAsia="Times New Roman"/>
                <w:b/>
                <w:bCs/>
                <w:sz w:val="16"/>
                <w:szCs w:val="16"/>
                <w:lang w:bidi="ta-IN"/>
              </w:rPr>
            </w:pPr>
            <w:r w:rsidRPr="00402212">
              <w:rPr>
                <w:rFonts w:eastAsia="Times New Roman"/>
                <w:b/>
                <w:bCs/>
                <w:sz w:val="16"/>
                <w:szCs w:val="16"/>
                <w:lang w:bidi="ta-IN"/>
              </w:rPr>
              <w:t>% of QC-Passed Cases</w:t>
            </w:r>
          </w:p>
        </w:tc>
      </w:tr>
      <w:tr w:rsidR="00402212" w:rsidRPr="00402212" w14:paraId="06E98E82" w14:textId="77777777" w:rsidTr="00402212">
        <w:trPr>
          <w:jc w:val="end"/>
        </w:trPr>
        <w:tc>
          <w:tcPr>
            <w:tcW w:w="42.50pt" w:type="dxa"/>
            <w:hideMark/>
          </w:tcPr>
          <w:p w14:paraId="494CEB7A"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Model performance</w:t>
            </w:r>
          </w:p>
        </w:tc>
        <w:tc>
          <w:tcPr>
            <w:tcW w:w="59.60pt" w:type="dxa"/>
            <w:hideMark/>
          </w:tcPr>
          <w:p w14:paraId="26F29551"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Accuracy</w:t>
            </w:r>
          </w:p>
        </w:tc>
        <w:tc>
          <w:tcPr>
            <w:tcW w:w="49.95pt" w:type="dxa"/>
            <w:hideMark/>
          </w:tcPr>
          <w:p w14:paraId="435710C7"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0.88</w:t>
            </w:r>
          </w:p>
        </w:tc>
        <w:tc>
          <w:tcPr>
            <w:tcW w:w="50.45pt" w:type="dxa"/>
            <w:hideMark/>
          </w:tcPr>
          <w:p w14:paraId="7E2B7FA6"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0.85</w:t>
            </w:r>
          </w:p>
        </w:tc>
        <w:tc>
          <w:tcPr>
            <w:tcW w:w="40.50pt" w:type="dxa"/>
            <w:hideMark/>
          </w:tcPr>
          <w:p w14:paraId="65CD0FF1"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32157676" w14:textId="77777777" w:rsidTr="00402212">
        <w:trPr>
          <w:jc w:val="end"/>
        </w:trPr>
        <w:tc>
          <w:tcPr>
            <w:tcW w:w="42.50pt" w:type="dxa"/>
            <w:hideMark/>
          </w:tcPr>
          <w:p w14:paraId="490CD1AA" w14:textId="77777777" w:rsidR="00402212" w:rsidRPr="00402212" w:rsidRDefault="00402212" w:rsidP="00402212">
            <w:pPr>
              <w:jc w:val="start"/>
              <w:rPr>
                <w:rFonts w:eastAsia="Times New Roman"/>
                <w:sz w:val="16"/>
                <w:szCs w:val="16"/>
                <w:lang w:bidi="ta-IN"/>
              </w:rPr>
            </w:pPr>
          </w:p>
        </w:tc>
        <w:tc>
          <w:tcPr>
            <w:tcW w:w="59.60pt" w:type="dxa"/>
            <w:hideMark/>
          </w:tcPr>
          <w:p w14:paraId="0BD448B1"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Precision</w:t>
            </w:r>
          </w:p>
        </w:tc>
        <w:tc>
          <w:tcPr>
            <w:tcW w:w="49.95pt" w:type="dxa"/>
            <w:hideMark/>
          </w:tcPr>
          <w:p w14:paraId="69F57149"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0.86</w:t>
            </w:r>
          </w:p>
        </w:tc>
        <w:tc>
          <w:tcPr>
            <w:tcW w:w="50.45pt" w:type="dxa"/>
            <w:hideMark/>
          </w:tcPr>
          <w:p w14:paraId="0807E633"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0.83</w:t>
            </w:r>
          </w:p>
        </w:tc>
        <w:tc>
          <w:tcPr>
            <w:tcW w:w="40.50pt" w:type="dxa"/>
            <w:hideMark/>
          </w:tcPr>
          <w:p w14:paraId="3216DC7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76D0E174" w14:textId="77777777" w:rsidTr="00402212">
        <w:trPr>
          <w:jc w:val="end"/>
        </w:trPr>
        <w:tc>
          <w:tcPr>
            <w:tcW w:w="42.50pt" w:type="dxa"/>
            <w:hideMark/>
          </w:tcPr>
          <w:p w14:paraId="7C6E588B" w14:textId="77777777" w:rsidR="00402212" w:rsidRPr="00402212" w:rsidRDefault="00402212" w:rsidP="00402212">
            <w:pPr>
              <w:jc w:val="start"/>
              <w:rPr>
                <w:rFonts w:eastAsia="Times New Roman"/>
                <w:sz w:val="16"/>
                <w:szCs w:val="16"/>
                <w:lang w:bidi="ta-IN"/>
              </w:rPr>
            </w:pPr>
          </w:p>
        </w:tc>
        <w:tc>
          <w:tcPr>
            <w:tcW w:w="59.60pt" w:type="dxa"/>
            <w:hideMark/>
          </w:tcPr>
          <w:p w14:paraId="3047B7DF"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Recall</w:t>
            </w:r>
          </w:p>
        </w:tc>
        <w:tc>
          <w:tcPr>
            <w:tcW w:w="49.95pt" w:type="dxa"/>
            <w:hideMark/>
          </w:tcPr>
          <w:p w14:paraId="4A65A4BA"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0.91</w:t>
            </w:r>
          </w:p>
        </w:tc>
        <w:tc>
          <w:tcPr>
            <w:tcW w:w="50.45pt" w:type="dxa"/>
            <w:hideMark/>
          </w:tcPr>
          <w:p w14:paraId="386D4EAF"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0.87</w:t>
            </w:r>
          </w:p>
        </w:tc>
        <w:tc>
          <w:tcPr>
            <w:tcW w:w="40.50pt" w:type="dxa"/>
            <w:hideMark/>
          </w:tcPr>
          <w:p w14:paraId="5470649E"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69690556" w14:textId="77777777" w:rsidTr="00402212">
        <w:trPr>
          <w:jc w:val="end"/>
        </w:trPr>
        <w:tc>
          <w:tcPr>
            <w:tcW w:w="42.50pt" w:type="dxa"/>
            <w:hideMark/>
          </w:tcPr>
          <w:p w14:paraId="46661A19" w14:textId="77777777" w:rsidR="00402212" w:rsidRPr="00402212" w:rsidRDefault="00402212" w:rsidP="00402212">
            <w:pPr>
              <w:jc w:val="start"/>
              <w:rPr>
                <w:rFonts w:eastAsia="Times New Roman"/>
                <w:sz w:val="16"/>
                <w:szCs w:val="16"/>
                <w:lang w:bidi="ta-IN"/>
              </w:rPr>
            </w:pPr>
          </w:p>
        </w:tc>
        <w:tc>
          <w:tcPr>
            <w:tcW w:w="59.60pt" w:type="dxa"/>
            <w:hideMark/>
          </w:tcPr>
          <w:p w14:paraId="56040DC4"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F1-score</w:t>
            </w:r>
          </w:p>
        </w:tc>
        <w:tc>
          <w:tcPr>
            <w:tcW w:w="49.95pt" w:type="dxa"/>
            <w:hideMark/>
          </w:tcPr>
          <w:p w14:paraId="74910C7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0.88</w:t>
            </w:r>
          </w:p>
        </w:tc>
        <w:tc>
          <w:tcPr>
            <w:tcW w:w="50.45pt" w:type="dxa"/>
            <w:hideMark/>
          </w:tcPr>
          <w:p w14:paraId="7B991403"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0.85</w:t>
            </w:r>
          </w:p>
        </w:tc>
        <w:tc>
          <w:tcPr>
            <w:tcW w:w="40.50pt" w:type="dxa"/>
            <w:hideMark/>
          </w:tcPr>
          <w:p w14:paraId="3AA1B9F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45D9BD26" w14:textId="77777777" w:rsidTr="00402212">
        <w:trPr>
          <w:jc w:val="end"/>
        </w:trPr>
        <w:tc>
          <w:tcPr>
            <w:tcW w:w="42.50pt" w:type="dxa"/>
            <w:hideMark/>
          </w:tcPr>
          <w:p w14:paraId="7CFE99B1" w14:textId="77777777" w:rsidR="00402212" w:rsidRPr="00402212" w:rsidRDefault="00402212" w:rsidP="00402212">
            <w:pPr>
              <w:jc w:val="start"/>
              <w:rPr>
                <w:rFonts w:eastAsia="Times New Roman"/>
                <w:sz w:val="16"/>
                <w:szCs w:val="16"/>
                <w:lang w:bidi="ta-IN"/>
              </w:rPr>
            </w:pPr>
          </w:p>
        </w:tc>
        <w:tc>
          <w:tcPr>
            <w:tcW w:w="59.60pt" w:type="dxa"/>
            <w:hideMark/>
          </w:tcPr>
          <w:p w14:paraId="4E5B1941"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AUC</w:t>
            </w:r>
          </w:p>
        </w:tc>
        <w:tc>
          <w:tcPr>
            <w:tcW w:w="49.95pt" w:type="dxa"/>
            <w:hideMark/>
          </w:tcPr>
          <w:p w14:paraId="17E4B97E"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0.93</w:t>
            </w:r>
          </w:p>
        </w:tc>
        <w:tc>
          <w:tcPr>
            <w:tcW w:w="50.45pt" w:type="dxa"/>
            <w:hideMark/>
          </w:tcPr>
          <w:p w14:paraId="3CACD94F"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0.90</w:t>
            </w:r>
          </w:p>
        </w:tc>
        <w:tc>
          <w:tcPr>
            <w:tcW w:w="40.50pt" w:type="dxa"/>
            <w:hideMark/>
          </w:tcPr>
          <w:p w14:paraId="4E1990E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129223C8" w14:textId="77777777" w:rsidTr="00402212">
        <w:trPr>
          <w:jc w:val="end"/>
        </w:trPr>
        <w:tc>
          <w:tcPr>
            <w:tcW w:w="42.50pt" w:type="dxa"/>
            <w:hideMark/>
          </w:tcPr>
          <w:p w14:paraId="4D3A279B" w14:textId="77777777" w:rsidR="00402212" w:rsidRPr="00402212" w:rsidRDefault="00402212" w:rsidP="00402212">
            <w:pPr>
              <w:jc w:val="start"/>
              <w:rPr>
                <w:rFonts w:eastAsia="Times New Roman"/>
                <w:sz w:val="16"/>
                <w:szCs w:val="16"/>
                <w:lang w:bidi="ta-IN"/>
              </w:rPr>
            </w:pPr>
          </w:p>
        </w:tc>
        <w:tc>
          <w:tcPr>
            <w:tcW w:w="59.60pt" w:type="dxa"/>
            <w:hideMark/>
          </w:tcPr>
          <w:p w14:paraId="4B0E461E"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False-negative rate</w:t>
            </w:r>
          </w:p>
        </w:tc>
        <w:tc>
          <w:tcPr>
            <w:tcW w:w="49.95pt" w:type="dxa"/>
            <w:hideMark/>
          </w:tcPr>
          <w:p w14:paraId="7DA4BA72"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0.09</w:t>
            </w:r>
          </w:p>
        </w:tc>
        <w:tc>
          <w:tcPr>
            <w:tcW w:w="50.45pt" w:type="dxa"/>
            <w:hideMark/>
          </w:tcPr>
          <w:p w14:paraId="3391A78B"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0.13</w:t>
            </w:r>
          </w:p>
        </w:tc>
        <w:tc>
          <w:tcPr>
            <w:tcW w:w="40.50pt" w:type="dxa"/>
            <w:hideMark/>
          </w:tcPr>
          <w:p w14:paraId="75D54A59"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r>
      <w:tr w:rsidR="00402212" w:rsidRPr="00402212" w14:paraId="388F78A7" w14:textId="77777777" w:rsidTr="00402212">
        <w:trPr>
          <w:jc w:val="end"/>
        </w:trPr>
        <w:tc>
          <w:tcPr>
            <w:tcW w:w="42.50pt" w:type="dxa"/>
            <w:hideMark/>
          </w:tcPr>
          <w:p w14:paraId="0B73756B"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Triage outcome</w:t>
            </w:r>
          </w:p>
        </w:tc>
        <w:tc>
          <w:tcPr>
            <w:tcW w:w="59.60pt" w:type="dxa"/>
            <w:hideMark/>
          </w:tcPr>
          <w:p w14:paraId="676C4177"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Combined risk</w:t>
            </w:r>
          </w:p>
        </w:tc>
        <w:tc>
          <w:tcPr>
            <w:tcW w:w="49.95pt" w:type="dxa"/>
            <w:hideMark/>
          </w:tcPr>
          <w:p w14:paraId="3F1869E4"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50.45pt" w:type="dxa"/>
            <w:hideMark/>
          </w:tcPr>
          <w:p w14:paraId="26A32CBE"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40.50pt" w:type="dxa"/>
            <w:hideMark/>
          </w:tcPr>
          <w:p w14:paraId="5CF8317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12.2</w:t>
            </w:r>
          </w:p>
        </w:tc>
      </w:tr>
      <w:tr w:rsidR="00402212" w:rsidRPr="00402212" w14:paraId="6C6A7891" w14:textId="77777777" w:rsidTr="00402212">
        <w:trPr>
          <w:jc w:val="end"/>
        </w:trPr>
        <w:tc>
          <w:tcPr>
            <w:tcW w:w="42.50pt" w:type="dxa"/>
            <w:hideMark/>
          </w:tcPr>
          <w:p w14:paraId="73147C40" w14:textId="77777777" w:rsidR="00402212" w:rsidRPr="00402212" w:rsidRDefault="00402212" w:rsidP="00402212">
            <w:pPr>
              <w:jc w:val="start"/>
              <w:rPr>
                <w:rFonts w:eastAsia="Times New Roman"/>
                <w:sz w:val="16"/>
                <w:szCs w:val="16"/>
                <w:lang w:bidi="ta-IN"/>
              </w:rPr>
            </w:pPr>
          </w:p>
        </w:tc>
        <w:tc>
          <w:tcPr>
            <w:tcW w:w="59.60pt" w:type="dxa"/>
            <w:hideMark/>
          </w:tcPr>
          <w:p w14:paraId="73EF9E6E"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Dyslexia-only</w:t>
            </w:r>
          </w:p>
        </w:tc>
        <w:tc>
          <w:tcPr>
            <w:tcW w:w="49.95pt" w:type="dxa"/>
            <w:hideMark/>
          </w:tcPr>
          <w:p w14:paraId="4A9DD37A"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50.45pt" w:type="dxa"/>
            <w:hideMark/>
          </w:tcPr>
          <w:p w14:paraId="23C6D05B"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40.50pt" w:type="dxa"/>
            <w:hideMark/>
          </w:tcPr>
          <w:p w14:paraId="1D33EF27"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28.6</w:t>
            </w:r>
          </w:p>
        </w:tc>
      </w:tr>
      <w:tr w:rsidR="00402212" w:rsidRPr="00402212" w14:paraId="30E10BCD" w14:textId="77777777" w:rsidTr="00402212">
        <w:trPr>
          <w:jc w:val="end"/>
        </w:trPr>
        <w:tc>
          <w:tcPr>
            <w:tcW w:w="42.50pt" w:type="dxa"/>
            <w:hideMark/>
          </w:tcPr>
          <w:p w14:paraId="4BA044DE" w14:textId="77777777" w:rsidR="00402212" w:rsidRPr="00402212" w:rsidRDefault="00402212" w:rsidP="00402212">
            <w:pPr>
              <w:jc w:val="start"/>
              <w:rPr>
                <w:rFonts w:eastAsia="Times New Roman"/>
                <w:sz w:val="16"/>
                <w:szCs w:val="16"/>
                <w:lang w:bidi="ta-IN"/>
              </w:rPr>
            </w:pPr>
          </w:p>
        </w:tc>
        <w:tc>
          <w:tcPr>
            <w:tcW w:w="59.60pt" w:type="dxa"/>
            <w:hideMark/>
          </w:tcPr>
          <w:p w14:paraId="5E7ECB98"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Dyscalculia-only</w:t>
            </w:r>
          </w:p>
        </w:tc>
        <w:tc>
          <w:tcPr>
            <w:tcW w:w="49.95pt" w:type="dxa"/>
            <w:hideMark/>
          </w:tcPr>
          <w:p w14:paraId="415562FB"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50.45pt" w:type="dxa"/>
            <w:hideMark/>
          </w:tcPr>
          <w:p w14:paraId="03C30C15"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40.50pt" w:type="dxa"/>
            <w:hideMark/>
          </w:tcPr>
          <w:p w14:paraId="6CB32D62"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16.3</w:t>
            </w:r>
          </w:p>
        </w:tc>
      </w:tr>
      <w:tr w:rsidR="00402212" w:rsidRPr="00402212" w14:paraId="079E8D87" w14:textId="77777777" w:rsidTr="00402212">
        <w:trPr>
          <w:jc w:val="end"/>
        </w:trPr>
        <w:tc>
          <w:tcPr>
            <w:tcW w:w="42.50pt" w:type="dxa"/>
            <w:hideMark/>
          </w:tcPr>
          <w:p w14:paraId="448E9369" w14:textId="77777777" w:rsidR="00402212" w:rsidRPr="00402212" w:rsidRDefault="00402212" w:rsidP="00402212">
            <w:pPr>
              <w:jc w:val="start"/>
              <w:rPr>
                <w:rFonts w:eastAsia="Times New Roman"/>
                <w:sz w:val="16"/>
                <w:szCs w:val="16"/>
                <w:lang w:bidi="ta-IN"/>
              </w:rPr>
            </w:pPr>
          </w:p>
        </w:tc>
        <w:tc>
          <w:tcPr>
            <w:tcW w:w="59.60pt" w:type="dxa"/>
            <w:hideMark/>
          </w:tcPr>
          <w:p w14:paraId="2CB9F81D"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Low risk</w:t>
            </w:r>
          </w:p>
        </w:tc>
        <w:tc>
          <w:tcPr>
            <w:tcW w:w="49.95pt" w:type="dxa"/>
            <w:hideMark/>
          </w:tcPr>
          <w:p w14:paraId="7570499F"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50.45pt" w:type="dxa"/>
            <w:hideMark/>
          </w:tcPr>
          <w:p w14:paraId="6FC557D6"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40.50pt" w:type="dxa"/>
            <w:hideMark/>
          </w:tcPr>
          <w:p w14:paraId="00C7AF59"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34.7</w:t>
            </w:r>
          </w:p>
        </w:tc>
      </w:tr>
      <w:tr w:rsidR="00402212" w:rsidRPr="00402212" w14:paraId="5BD1B431" w14:textId="77777777" w:rsidTr="00402212">
        <w:trPr>
          <w:jc w:val="end"/>
        </w:trPr>
        <w:tc>
          <w:tcPr>
            <w:tcW w:w="42.50pt" w:type="dxa"/>
            <w:hideMark/>
          </w:tcPr>
          <w:p w14:paraId="68A81D41" w14:textId="77777777" w:rsidR="00402212" w:rsidRPr="00402212" w:rsidRDefault="00402212" w:rsidP="00402212">
            <w:pPr>
              <w:jc w:val="start"/>
              <w:rPr>
                <w:rFonts w:eastAsia="Times New Roman"/>
                <w:sz w:val="16"/>
                <w:szCs w:val="16"/>
                <w:lang w:bidi="ta-IN"/>
              </w:rPr>
            </w:pPr>
          </w:p>
        </w:tc>
        <w:tc>
          <w:tcPr>
            <w:tcW w:w="59.60pt" w:type="dxa"/>
            <w:hideMark/>
          </w:tcPr>
          <w:p w14:paraId="14772836"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Low-confidence escalation</w:t>
            </w:r>
          </w:p>
        </w:tc>
        <w:tc>
          <w:tcPr>
            <w:tcW w:w="49.95pt" w:type="dxa"/>
            <w:hideMark/>
          </w:tcPr>
          <w:p w14:paraId="3A4E5677"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50.45pt" w:type="dxa"/>
            <w:hideMark/>
          </w:tcPr>
          <w:p w14:paraId="6A57EB92"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w:t>
            </w:r>
          </w:p>
        </w:tc>
        <w:tc>
          <w:tcPr>
            <w:tcW w:w="40.50pt" w:type="dxa"/>
            <w:hideMark/>
          </w:tcPr>
          <w:p w14:paraId="49F51FCC" w14:textId="77777777" w:rsidR="00402212" w:rsidRPr="00402212" w:rsidRDefault="00402212" w:rsidP="00402212">
            <w:pPr>
              <w:jc w:val="start"/>
              <w:rPr>
                <w:rFonts w:eastAsia="Times New Roman"/>
                <w:sz w:val="16"/>
                <w:szCs w:val="16"/>
                <w:lang w:bidi="ta-IN"/>
              </w:rPr>
            </w:pPr>
            <w:r w:rsidRPr="00402212">
              <w:rPr>
                <w:rFonts w:eastAsia="Times New Roman"/>
                <w:sz w:val="16"/>
                <w:szCs w:val="16"/>
                <w:lang w:bidi="ta-IN"/>
              </w:rPr>
              <w:t>8.2</w:t>
            </w:r>
          </w:p>
        </w:tc>
      </w:tr>
    </w:tbl>
    <w:p w14:paraId="407ED775" w14:textId="77777777" w:rsidR="00082EE5" w:rsidRPr="005B520E" w:rsidRDefault="00082EE5" w:rsidP="00402212">
      <w:pPr>
        <w:pStyle w:val="BodyText"/>
        <w:ind w:firstLine="0pt"/>
      </w:pPr>
    </w:p>
    <w:p w14:paraId="39AD5FF2" w14:textId="1EBF6F35" w:rsidR="009303D9" w:rsidRDefault="00E02DDB" w:rsidP="000315AE">
      <w:pPr>
        <w:pStyle w:val="Heading2"/>
      </w:pPr>
      <w:r w:rsidRPr="00E02DDB">
        <w:t>Workflow and Governance Outcomes</w:t>
      </w:r>
    </w:p>
    <w:p w14:paraId="677D54C1" w14:textId="77777777" w:rsidR="000315AE" w:rsidRDefault="000315AE" w:rsidP="000315AE">
      <w:pPr>
        <w:jc w:val="both"/>
      </w:pPr>
      <w:r>
        <w:t>CareLink reduced mean time-to-support from 34.7 to 8.3 days (-76.1%), with significant pre-post improvement (Wilcoxon: Z = -4.12, p &lt; 0.001, r = 0.71). Clinician review median turnaround improved from 72.0 to 18.5 hours; HR decision turnaround improved from 9.4 to 2.9 days (**Table VI**, **Fig. 7**).</w:t>
      </w:r>
    </w:p>
    <w:p w14:paraId="4E29574A" w14:textId="77777777" w:rsidR="000315AE" w:rsidRDefault="000315AE" w:rsidP="000315AE">
      <w:pPr>
        <w:jc w:val="both"/>
      </w:pPr>
    </w:p>
    <w:p w14:paraId="168C0680" w14:textId="2D423767" w:rsidR="000315AE" w:rsidRDefault="000315AE" w:rsidP="000315AE">
      <w:pPr>
        <w:jc w:val="both"/>
      </w:pPr>
      <w:r>
        <w:t>Among 28 reviewed high-risk/escalated cases, clinicians confirmed 25 (89.3%) and disagreed with 3 (10.7%), with substantial agreement (Cohen's kappa = 0.74, 95% CI: 0.58-0.90).</w:t>
      </w:r>
    </w:p>
    <w:p w14:paraId="4DEE1175" w14:textId="70BD3FCB" w:rsidR="000315AE" w:rsidRDefault="00503F92" w:rsidP="00503F92">
      <w:pPr>
        <w:pStyle w:val="tablehead"/>
      </w:pPr>
      <w:r w:rsidRPr="00503F92">
        <w:t>Workflow and governance results</w:t>
      </w:r>
    </w:p>
    <w:tbl>
      <w:tblPr>
        <w:tblStyle w:val="TableGrid"/>
        <w:tblW w:w="0pt" w:type="auto"/>
        <w:tblLook w:firstRow="1" w:lastRow="0" w:firstColumn="1" w:lastColumn="0" w:noHBand="0" w:noVBand="1"/>
      </w:tblPr>
      <w:tblGrid>
        <w:gridCol w:w="2447"/>
        <w:gridCol w:w="785"/>
        <w:gridCol w:w="883"/>
        <w:gridCol w:w="741"/>
      </w:tblGrid>
      <w:tr w:rsidR="000315AE" w:rsidRPr="000315AE" w14:paraId="73890F3A" w14:textId="77777777" w:rsidTr="000315AE">
        <w:tc>
          <w:tcPr>
            <w:tcW w:w="0pt" w:type="auto"/>
            <w:hideMark/>
          </w:tcPr>
          <w:p w14:paraId="681D8AA0" w14:textId="77777777" w:rsidR="000315AE" w:rsidRPr="000315AE" w:rsidRDefault="000315AE" w:rsidP="000315AE">
            <w:pPr>
              <w:rPr>
                <w:rFonts w:eastAsia="Times New Roman"/>
                <w:b/>
                <w:bCs/>
                <w:sz w:val="16"/>
                <w:szCs w:val="16"/>
                <w:lang w:bidi="ta-IN"/>
              </w:rPr>
            </w:pPr>
            <w:r w:rsidRPr="000315AE">
              <w:rPr>
                <w:rFonts w:eastAsia="Times New Roman"/>
                <w:b/>
                <w:bCs/>
                <w:sz w:val="16"/>
                <w:szCs w:val="16"/>
                <w:lang w:bidi="ta-IN"/>
              </w:rPr>
              <w:t>Metric</w:t>
            </w:r>
          </w:p>
        </w:tc>
        <w:tc>
          <w:tcPr>
            <w:tcW w:w="0pt" w:type="auto"/>
            <w:hideMark/>
          </w:tcPr>
          <w:p w14:paraId="505C00FA" w14:textId="77777777" w:rsidR="000315AE" w:rsidRPr="000315AE" w:rsidRDefault="000315AE" w:rsidP="000315AE">
            <w:pPr>
              <w:rPr>
                <w:rFonts w:eastAsia="Times New Roman"/>
                <w:b/>
                <w:bCs/>
                <w:sz w:val="16"/>
                <w:szCs w:val="16"/>
                <w:lang w:bidi="ta-IN"/>
              </w:rPr>
            </w:pPr>
            <w:r w:rsidRPr="000315AE">
              <w:rPr>
                <w:rFonts w:eastAsia="Times New Roman"/>
                <w:b/>
                <w:bCs/>
                <w:sz w:val="16"/>
                <w:szCs w:val="16"/>
                <w:lang w:bidi="ta-IN"/>
              </w:rPr>
              <w:t>Baseline</w:t>
            </w:r>
          </w:p>
        </w:tc>
        <w:tc>
          <w:tcPr>
            <w:tcW w:w="0pt" w:type="auto"/>
            <w:hideMark/>
          </w:tcPr>
          <w:p w14:paraId="749E6363" w14:textId="77777777" w:rsidR="000315AE" w:rsidRPr="000315AE" w:rsidRDefault="000315AE" w:rsidP="000315AE">
            <w:pPr>
              <w:rPr>
                <w:rFonts w:eastAsia="Times New Roman"/>
                <w:b/>
                <w:bCs/>
                <w:sz w:val="16"/>
                <w:szCs w:val="16"/>
                <w:lang w:bidi="ta-IN"/>
              </w:rPr>
            </w:pPr>
            <w:r w:rsidRPr="000315AE">
              <w:rPr>
                <w:rFonts w:eastAsia="Times New Roman"/>
                <w:b/>
                <w:bCs/>
                <w:sz w:val="16"/>
                <w:szCs w:val="16"/>
                <w:lang w:bidi="ta-IN"/>
              </w:rPr>
              <w:t>CareLink</w:t>
            </w:r>
          </w:p>
        </w:tc>
        <w:tc>
          <w:tcPr>
            <w:tcW w:w="0pt" w:type="auto"/>
            <w:hideMark/>
          </w:tcPr>
          <w:p w14:paraId="7B57D4BB" w14:textId="77777777" w:rsidR="000315AE" w:rsidRPr="000315AE" w:rsidRDefault="000315AE" w:rsidP="000315AE">
            <w:pPr>
              <w:rPr>
                <w:rFonts w:eastAsia="Times New Roman"/>
                <w:b/>
                <w:bCs/>
                <w:sz w:val="16"/>
                <w:szCs w:val="16"/>
                <w:lang w:bidi="ta-IN"/>
              </w:rPr>
            </w:pPr>
            <w:r w:rsidRPr="000315AE">
              <w:rPr>
                <w:rFonts w:eastAsia="Times New Roman"/>
                <w:b/>
                <w:bCs/>
                <w:sz w:val="16"/>
                <w:szCs w:val="16"/>
                <w:lang w:bidi="ta-IN"/>
              </w:rPr>
              <w:t>Change</w:t>
            </w:r>
          </w:p>
        </w:tc>
      </w:tr>
      <w:tr w:rsidR="000315AE" w:rsidRPr="000315AE" w14:paraId="70D362A8" w14:textId="77777777" w:rsidTr="000315AE">
        <w:tc>
          <w:tcPr>
            <w:tcW w:w="0pt" w:type="auto"/>
            <w:hideMark/>
          </w:tcPr>
          <w:p w14:paraId="6C1A29AA"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Mean time-to-support (days)</w:t>
            </w:r>
          </w:p>
        </w:tc>
        <w:tc>
          <w:tcPr>
            <w:tcW w:w="0pt" w:type="auto"/>
            <w:hideMark/>
          </w:tcPr>
          <w:p w14:paraId="42BD59DD"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34.7</w:t>
            </w:r>
          </w:p>
        </w:tc>
        <w:tc>
          <w:tcPr>
            <w:tcW w:w="0pt" w:type="auto"/>
            <w:hideMark/>
          </w:tcPr>
          <w:p w14:paraId="752D5DE8"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8.3</w:t>
            </w:r>
          </w:p>
        </w:tc>
        <w:tc>
          <w:tcPr>
            <w:tcW w:w="0pt" w:type="auto"/>
            <w:hideMark/>
          </w:tcPr>
          <w:p w14:paraId="68787953"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-76.1%</w:t>
            </w:r>
          </w:p>
        </w:tc>
      </w:tr>
      <w:tr w:rsidR="000315AE" w:rsidRPr="000315AE" w14:paraId="54D73FEA" w14:textId="77777777" w:rsidTr="000315AE">
        <w:tc>
          <w:tcPr>
            <w:tcW w:w="0pt" w:type="auto"/>
            <w:hideMark/>
          </w:tcPr>
          <w:p w14:paraId="787CAA62"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Clinician review turnaround (hours)</w:t>
            </w:r>
          </w:p>
        </w:tc>
        <w:tc>
          <w:tcPr>
            <w:tcW w:w="0pt" w:type="auto"/>
            <w:hideMark/>
          </w:tcPr>
          <w:p w14:paraId="61A16C68"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72.0</w:t>
            </w:r>
          </w:p>
        </w:tc>
        <w:tc>
          <w:tcPr>
            <w:tcW w:w="0pt" w:type="auto"/>
            <w:hideMark/>
          </w:tcPr>
          <w:p w14:paraId="08C8C6E6"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18.5</w:t>
            </w:r>
          </w:p>
        </w:tc>
        <w:tc>
          <w:tcPr>
            <w:tcW w:w="0pt" w:type="auto"/>
            <w:hideMark/>
          </w:tcPr>
          <w:p w14:paraId="1983155D"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-74.3%</w:t>
            </w:r>
          </w:p>
        </w:tc>
      </w:tr>
      <w:tr w:rsidR="000315AE" w:rsidRPr="000315AE" w14:paraId="00263276" w14:textId="77777777" w:rsidTr="000315AE">
        <w:tc>
          <w:tcPr>
            <w:tcW w:w="0pt" w:type="auto"/>
            <w:hideMark/>
          </w:tcPr>
          <w:p w14:paraId="60BBD783"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HR decision turnaround (days)</w:t>
            </w:r>
          </w:p>
        </w:tc>
        <w:tc>
          <w:tcPr>
            <w:tcW w:w="0pt" w:type="auto"/>
            <w:hideMark/>
          </w:tcPr>
          <w:p w14:paraId="21479ED3"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9.4</w:t>
            </w:r>
          </w:p>
        </w:tc>
        <w:tc>
          <w:tcPr>
            <w:tcW w:w="0pt" w:type="auto"/>
            <w:hideMark/>
          </w:tcPr>
          <w:p w14:paraId="53A4BD26"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2.9</w:t>
            </w:r>
          </w:p>
        </w:tc>
        <w:tc>
          <w:tcPr>
            <w:tcW w:w="0pt" w:type="auto"/>
            <w:hideMark/>
          </w:tcPr>
          <w:p w14:paraId="71F932FE"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-69.1%</w:t>
            </w:r>
          </w:p>
        </w:tc>
      </w:tr>
      <w:tr w:rsidR="000315AE" w:rsidRPr="000315AE" w14:paraId="3EAF23F8" w14:textId="77777777" w:rsidTr="000315AE">
        <w:tc>
          <w:tcPr>
            <w:tcW w:w="0pt" w:type="auto"/>
            <w:hideMark/>
          </w:tcPr>
          <w:p w14:paraId="546A99D4"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Clinician confirmation rate</w:t>
            </w:r>
          </w:p>
        </w:tc>
        <w:tc>
          <w:tcPr>
            <w:tcW w:w="0pt" w:type="auto"/>
            <w:hideMark/>
          </w:tcPr>
          <w:p w14:paraId="189C465E"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w:t>
            </w:r>
          </w:p>
        </w:tc>
        <w:tc>
          <w:tcPr>
            <w:tcW w:w="0pt" w:type="auto"/>
            <w:hideMark/>
          </w:tcPr>
          <w:p w14:paraId="3E4438AC"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89.3%</w:t>
            </w:r>
          </w:p>
        </w:tc>
        <w:tc>
          <w:tcPr>
            <w:tcW w:w="0pt" w:type="auto"/>
            <w:hideMark/>
          </w:tcPr>
          <w:p w14:paraId="5A3F04FC"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w:t>
            </w:r>
          </w:p>
        </w:tc>
      </w:tr>
      <w:tr w:rsidR="000315AE" w:rsidRPr="000315AE" w14:paraId="0D8E9288" w14:textId="77777777" w:rsidTr="000315AE">
        <w:tc>
          <w:tcPr>
            <w:tcW w:w="0pt" w:type="auto"/>
            <w:hideMark/>
          </w:tcPr>
          <w:p w14:paraId="6003B490"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Cohen's kappa</w:t>
            </w:r>
          </w:p>
        </w:tc>
        <w:tc>
          <w:tcPr>
            <w:tcW w:w="0pt" w:type="auto"/>
            <w:hideMark/>
          </w:tcPr>
          <w:p w14:paraId="0932DF7E"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w:t>
            </w:r>
          </w:p>
        </w:tc>
        <w:tc>
          <w:tcPr>
            <w:tcW w:w="0pt" w:type="auto"/>
            <w:hideMark/>
          </w:tcPr>
          <w:p w14:paraId="7FB49CD1"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0.74</w:t>
            </w:r>
          </w:p>
        </w:tc>
        <w:tc>
          <w:tcPr>
            <w:tcW w:w="0pt" w:type="auto"/>
            <w:hideMark/>
          </w:tcPr>
          <w:p w14:paraId="4EF0F908" w14:textId="77777777" w:rsidR="000315AE" w:rsidRPr="000315AE" w:rsidRDefault="000315AE" w:rsidP="000315AE">
            <w:pPr>
              <w:jc w:val="start"/>
              <w:rPr>
                <w:rFonts w:eastAsia="Times New Roman"/>
                <w:sz w:val="16"/>
                <w:szCs w:val="16"/>
                <w:lang w:bidi="ta-IN"/>
              </w:rPr>
            </w:pPr>
            <w:r w:rsidRPr="000315AE">
              <w:rPr>
                <w:rFonts w:eastAsia="Times New Roman"/>
                <w:sz w:val="16"/>
                <w:szCs w:val="16"/>
                <w:lang w:bidi="ta-IN"/>
              </w:rPr>
              <w:t>-</w:t>
            </w:r>
          </w:p>
        </w:tc>
      </w:tr>
    </w:tbl>
    <w:p w14:paraId="6EF8E72A" w14:textId="313350BA" w:rsidR="003E63C2" w:rsidRDefault="003E63C2" w:rsidP="0068517E">
      <w:pPr>
        <w:pStyle w:val="Heading2"/>
      </w:pPr>
      <w:r>
        <w:t>Usability and Trust</w:t>
      </w:r>
    </w:p>
    <w:p w14:paraId="618C873F" w14:textId="1CA4EAB0" w:rsidR="00212768" w:rsidRDefault="00DA2124" w:rsidP="0068517E">
      <w:pPr>
        <w:jc w:val="both"/>
      </w:pPr>
      <w:r w:rsidRPr="00DA2124">
        <w:t xml:space="preserve">Overall usability was high (SUS 80.4, SD 8.6), with mean trust 5.5/7 (**Table VII**, **Fig. 8**). Group SUS scores were employees 81.2, clinicians 77.4, and HR managers 83.6. Qualitative feedback (n = 31) highlighted privacy confidence and workflow </w:t>
      </w:r>
      <w:proofErr w:type="gramStart"/>
      <w:r w:rsidRPr="00DA2124">
        <w:t>improvement, but</w:t>
      </w:r>
      <w:proofErr w:type="gramEnd"/>
      <w:r w:rsidRPr="00DA2124">
        <w:t xml:space="preserve"> requested clearer model rationale for clinicians.</w:t>
      </w:r>
    </w:p>
    <w:p w14:paraId="67604825" w14:textId="7369CEEF" w:rsidR="00212768" w:rsidRDefault="00855AD7" w:rsidP="004E7DEE">
      <w:pPr>
        <w:pStyle w:val="tablehead"/>
      </w:pPr>
      <w:r w:rsidRPr="00855AD7">
        <w:t>Usability and trust by stakeholder group</w:t>
      </w:r>
    </w:p>
    <w:tbl>
      <w:tblPr>
        <w:tblStyle w:val="TableGrid"/>
        <w:tblW w:w="247.25pt" w:type="dxa"/>
        <w:tblLook w:firstRow="1" w:lastRow="0" w:firstColumn="1" w:lastColumn="0" w:noHBand="0" w:noVBand="1"/>
      </w:tblPr>
      <w:tblGrid>
        <w:gridCol w:w="1975"/>
        <w:gridCol w:w="1530"/>
        <w:gridCol w:w="1440"/>
      </w:tblGrid>
      <w:tr w:rsidR="00212768" w:rsidRPr="00212768" w14:paraId="1104616A" w14:textId="77777777" w:rsidTr="00212768">
        <w:tc>
          <w:tcPr>
            <w:tcW w:w="98.75pt" w:type="dxa"/>
            <w:hideMark/>
          </w:tcPr>
          <w:p w14:paraId="0B5D2636" w14:textId="77777777" w:rsidR="00212768" w:rsidRPr="00212768" w:rsidRDefault="00212768" w:rsidP="00212768">
            <w:pPr>
              <w:rPr>
                <w:rFonts w:eastAsia="Times New Roman"/>
                <w:b/>
                <w:bCs/>
                <w:sz w:val="16"/>
                <w:szCs w:val="16"/>
                <w:lang w:bidi="ta-IN"/>
              </w:rPr>
            </w:pPr>
            <w:r w:rsidRPr="00212768">
              <w:rPr>
                <w:rFonts w:eastAsia="Times New Roman"/>
                <w:b/>
                <w:bCs/>
                <w:sz w:val="16"/>
                <w:szCs w:val="16"/>
                <w:lang w:bidi="ta-IN"/>
              </w:rPr>
              <w:t>Group</w:t>
            </w:r>
          </w:p>
        </w:tc>
        <w:tc>
          <w:tcPr>
            <w:tcW w:w="76.50pt" w:type="dxa"/>
            <w:hideMark/>
          </w:tcPr>
          <w:p w14:paraId="0F8FA396" w14:textId="77777777" w:rsidR="00212768" w:rsidRPr="00212768" w:rsidRDefault="00212768" w:rsidP="00212768">
            <w:pPr>
              <w:rPr>
                <w:rFonts w:eastAsia="Times New Roman"/>
                <w:b/>
                <w:bCs/>
                <w:sz w:val="16"/>
                <w:szCs w:val="16"/>
                <w:lang w:bidi="ta-IN"/>
              </w:rPr>
            </w:pPr>
            <w:r w:rsidRPr="00212768">
              <w:rPr>
                <w:rFonts w:eastAsia="Times New Roman"/>
                <w:b/>
                <w:bCs/>
                <w:sz w:val="16"/>
                <w:szCs w:val="16"/>
                <w:lang w:bidi="ta-IN"/>
              </w:rPr>
              <w:t>SUS</w:t>
            </w:r>
          </w:p>
        </w:tc>
        <w:tc>
          <w:tcPr>
            <w:tcW w:w="72pt" w:type="dxa"/>
            <w:hideMark/>
          </w:tcPr>
          <w:p w14:paraId="14836D4A" w14:textId="77777777" w:rsidR="00212768" w:rsidRPr="00212768" w:rsidRDefault="00212768" w:rsidP="00212768">
            <w:pPr>
              <w:rPr>
                <w:rFonts w:eastAsia="Times New Roman"/>
                <w:b/>
                <w:bCs/>
                <w:sz w:val="16"/>
                <w:szCs w:val="16"/>
                <w:lang w:bidi="ta-IN"/>
              </w:rPr>
            </w:pPr>
            <w:r w:rsidRPr="00212768">
              <w:rPr>
                <w:rFonts w:eastAsia="Times New Roman"/>
                <w:b/>
                <w:bCs/>
                <w:sz w:val="16"/>
                <w:szCs w:val="16"/>
                <w:lang w:bidi="ta-IN"/>
              </w:rPr>
              <w:t>Trust (1–7)</w:t>
            </w:r>
          </w:p>
        </w:tc>
      </w:tr>
      <w:tr w:rsidR="00212768" w:rsidRPr="00212768" w14:paraId="56107115" w14:textId="77777777" w:rsidTr="00212768">
        <w:tc>
          <w:tcPr>
            <w:tcW w:w="98.75pt" w:type="dxa"/>
            <w:hideMark/>
          </w:tcPr>
          <w:p w14:paraId="7019D574"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Employees</w:t>
            </w:r>
          </w:p>
        </w:tc>
        <w:tc>
          <w:tcPr>
            <w:tcW w:w="76.50pt" w:type="dxa"/>
            <w:hideMark/>
          </w:tcPr>
          <w:p w14:paraId="2A1EBAF4"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81.2</w:t>
            </w:r>
          </w:p>
        </w:tc>
        <w:tc>
          <w:tcPr>
            <w:tcW w:w="72pt" w:type="dxa"/>
            <w:hideMark/>
          </w:tcPr>
          <w:p w14:paraId="77F6E732"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5.6</w:t>
            </w:r>
          </w:p>
        </w:tc>
      </w:tr>
      <w:tr w:rsidR="00212768" w:rsidRPr="00212768" w14:paraId="5A2E6DDA" w14:textId="77777777" w:rsidTr="00212768">
        <w:tc>
          <w:tcPr>
            <w:tcW w:w="98.75pt" w:type="dxa"/>
            <w:hideMark/>
          </w:tcPr>
          <w:p w14:paraId="4FCF1FA6"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Clinicians</w:t>
            </w:r>
          </w:p>
        </w:tc>
        <w:tc>
          <w:tcPr>
            <w:tcW w:w="76.50pt" w:type="dxa"/>
            <w:hideMark/>
          </w:tcPr>
          <w:p w14:paraId="57FE0828"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77.4</w:t>
            </w:r>
          </w:p>
        </w:tc>
        <w:tc>
          <w:tcPr>
            <w:tcW w:w="72pt" w:type="dxa"/>
            <w:hideMark/>
          </w:tcPr>
          <w:p w14:paraId="478BD31A"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5.2</w:t>
            </w:r>
          </w:p>
        </w:tc>
      </w:tr>
      <w:tr w:rsidR="00212768" w:rsidRPr="00212768" w14:paraId="4E722790" w14:textId="77777777" w:rsidTr="00212768">
        <w:tc>
          <w:tcPr>
            <w:tcW w:w="98.75pt" w:type="dxa"/>
            <w:hideMark/>
          </w:tcPr>
          <w:p w14:paraId="42392321"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HR managers</w:t>
            </w:r>
          </w:p>
        </w:tc>
        <w:tc>
          <w:tcPr>
            <w:tcW w:w="76.50pt" w:type="dxa"/>
            <w:hideMark/>
          </w:tcPr>
          <w:p w14:paraId="25058826"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83.6</w:t>
            </w:r>
          </w:p>
        </w:tc>
        <w:tc>
          <w:tcPr>
            <w:tcW w:w="72pt" w:type="dxa"/>
            <w:hideMark/>
          </w:tcPr>
          <w:p w14:paraId="6044E781"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5.8</w:t>
            </w:r>
          </w:p>
        </w:tc>
      </w:tr>
      <w:tr w:rsidR="00212768" w:rsidRPr="00212768" w14:paraId="4E8E59EA" w14:textId="77777777" w:rsidTr="00212768">
        <w:tc>
          <w:tcPr>
            <w:tcW w:w="98.75pt" w:type="dxa"/>
            <w:hideMark/>
          </w:tcPr>
          <w:p w14:paraId="0C64A824"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Overall</w:t>
            </w:r>
          </w:p>
        </w:tc>
        <w:tc>
          <w:tcPr>
            <w:tcW w:w="76.50pt" w:type="dxa"/>
            <w:hideMark/>
          </w:tcPr>
          <w:p w14:paraId="0C9324FA"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80.4</w:t>
            </w:r>
          </w:p>
        </w:tc>
        <w:tc>
          <w:tcPr>
            <w:tcW w:w="72pt" w:type="dxa"/>
            <w:hideMark/>
          </w:tcPr>
          <w:p w14:paraId="03FE51A2" w14:textId="77777777" w:rsidR="00212768" w:rsidRPr="00212768" w:rsidRDefault="00212768" w:rsidP="00212768">
            <w:pPr>
              <w:jc w:val="start"/>
              <w:rPr>
                <w:rFonts w:eastAsia="Times New Roman"/>
                <w:sz w:val="16"/>
                <w:szCs w:val="16"/>
                <w:lang w:bidi="ta-IN"/>
              </w:rPr>
            </w:pPr>
            <w:r w:rsidRPr="00212768">
              <w:rPr>
                <w:rFonts w:eastAsia="Times New Roman"/>
                <w:sz w:val="16"/>
                <w:szCs w:val="16"/>
                <w:lang w:bidi="ta-IN"/>
              </w:rPr>
              <w:t>5.5</w:t>
            </w:r>
          </w:p>
        </w:tc>
      </w:tr>
    </w:tbl>
    <w:p w14:paraId="24E3850D" w14:textId="70B999BA" w:rsidR="00212768" w:rsidRDefault="00212768" w:rsidP="0068517E">
      <w:pPr>
        <w:jc w:val="both"/>
      </w:pPr>
    </w:p>
    <w:p w14:paraId="1A5E29AC" w14:textId="66BB34C2" w:rsidR="00DF555A" w:rsidRDefault="00DF555A" w:rsidP="00DF555A">
      <w:pPr>
        <w:pStyle w:val="Heading1"/>
      </w:pPr>
      <w:r>
        <w:t>Discussion</w:t>
      </w:r>
    </w:p>
    <w:p w14:paraId="588C5F60" w14:textId="77777777" w:rsidR="00DF555A" w:rsidRDefault="00DF555A" w:rsidP="00DF555A">
      <w:pPr>
        <w:jc w:val="both"/>
      </w:pPr>
      <w:r>
        <w:t>CareLink showed strong pilot performance in both technical screening and operational impact. Model quality (AUC 0.93/0.90; recall 0.91/0.87) supports questionnaire-first triage, while clinician agreement (kappa = 0.74) supports governance validity. The main practical gain was speed, with a 76.1% reduction in time-to-support and faster clinician/HR decision cycles.</w:t>
      </w:r>
    </w:p>
    <w:p w14:paraId="1C33D3F2" w14:textId="77777777" w:rsidR="00DF555A" w:rsidRDefault="00DF555A" w:rsidP="00DF555A">
      <w:pPr>
        <w:jc w:val="both"/>
      </w:pPr>
    </w:p>
    <w:p w14:paraId="7FCD3895" w14:textId="0B56BE3D" w:rsidR="00DF555A" w:rsidRPr="0068517E" w:rsidRDefault="00DF555A" w:rsidP="00DF555A">
      <w:pPr>
        <w:jc w:val="both"/>
      </w:pPr>
      <w:r>
        <w:t>The primary improvement area is explainability for clinician-facing review, not overall usability. Future versions should add case-level feature attribution, expand to multimodal/federated deployment, and run larger multi-site longitudinal validation.</w:t>
      </w:r>
    </w:p>
    <w:p w14:paraId="4B46A03A" w14:textId="63FF45D4" w:rsidR="009303D9" w:rsidRPr="005B520E" w:rsidRDefault="009303D9">
      <w:pPr>
        <w:pStyle w:val="tablehead"/>
      </w:pPr>
      <w:r>
        <w:lastRenderedPageBreak/>
        <w:t>Table Type Styl</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3B2CEB" w:rsidRDefault="009303D9" w:rsidP="00E7596C">
      <w:pPr>
        <w:pStyle w:val="BodyText"/>
        <w:rPr>
          <w:lang w:val="en-US"/>
        </w:rPr>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3B2CEB" w:rsidRDefault="003B2CEB"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3B2CEB" w:rsidRDefault="003B2CEB"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152F7176" w14:textId="77777777" w:rsidR="00EF6ED1" w:rsidRDefault="00EF6ED1" w:rsidP="001A3B3D">
      <w:r>
        <w:separator/>
      </w:r>
    </w:p>
  </w:endnote>
  <w:endnote w:type="continuationSeparator" w:id="0">
    <w:p w14:paraId="6EDAFA75" w14:textId="77777777" w:rsidR="00EF6ED1" w:rsidRDefault="00EF6ED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69E75918" w14:textId="77777777" w:rsidR="003B2CEB" w:rsidRPr="006F6D3D" w:rsidRDefault="003B2CEB"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16627427" w14:textId="77777777" w:rsidR="00EF6ED1" w:rsidRDefault="00EF6ED1" w:rsidP="001A3B3D">
      <w:r>
        <w:separator/>
      </w:r>
    </w:p>
  </w:footnote>
  <w:footnote w:type="continuationSeparator" w:id="0">
    <w:p w14:paraId="02358A71" w14:textId="77777777" w:rsidR="00EF6ED1" w:rsidRDefault="00EF6ED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4A1DDB"/>
    <w:multiLevelType w:val="hybridMultilevel"/>
    <w:tmpl w:val="1BC480CC"/>
    <w:lvl w:ilvl="0" w:tplc="0409000F">
      <w:start w:val="1"/>
      <w:numFmt w:val="decimal"/>
      <w:lvlText w:val="%1."/>
      <w:lvlJc w:val="start"/>
      <w:pPr>
        <w:ind w:start="32.40pt" w:hanging="18pt"/>
      </w:p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107A4B10"/>
    <w:multiLevelType w:val="hybridMultilevel"/>
    <w:tmpl w:val="CF84B01E"/>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19EB7652"/>
    <w:multiLevelType w:val="hybridMultilevel"/>
    <w:tmpl w:val="2E1E8B9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B117645"/>
    <w:multiLevelType w:val="hybridMultilevel"/>
    <w:tmpl w:val="23108EA0"/>
    <w:lvl w:ilvl="0" w:tplc="0409000F">
      <w:start w:val="1"/>
      <w:numFmt w:val="decimal"/>
      <w:lvlText w:val="%1."/>
      <w:lvlJc w:val="start"/>
      <w:pPr>
        <w:ind w:start="32.40pt" w:hanging="18pt"/>
      </w:p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C607BAB"/>
    <w:multiLevelType w:val="hybridMultilevel"/>
    <w:tmpl w:val="440A7EE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E2353DF"/>
    <w:multiLevelType w:val="hybridMultilevel"/>
    <w:tmpl w:val="8FC870D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E9E478E"/>
    <w:multiLevelType w:val="hybridMultilevel"/>
    <w:tmpl w:val="9FE6C0D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2EB4E2B"/>
    <w:multiLevelType w:val="hybridMultilevel"/>
    <w:tmpl w:val="13D4326E"/>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6EE8172E"/>
    <w:multiLevelType w:val="hybridMultilevel"/>
    <w:tmpl w:val="0CBCDED6"/>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18"/>
  </w:num>
  <w:num w:numId="2">
    <w:abstractNumId w:val="27"/>
  </w:num>
  <w:num w:numId="3">
    <w:abstractNumId w:val="16"/>
  </w:num>
  <w:num w:numId="4">
    <w:abstractNumId w:val="21"/>
  </w:num>
  <w:num w:numId="5">
    <w:abstractNumId w:val="21"/>
  </w:num>
  <w:num w:numId="6">
    <w:abstractNumId w:val="21"/>
  </w:num>
  <w:num w:numId="7">
    <w:abstractNumId w:val="21"/>
  </w:num>
  <w:num w:numId="8">
    <w:abstractNumId w:val="25"/>
  </w:num>
  <w:num w:numId="9">
    <w:abstractNumId w:val="28"/>
  </w:num>
  <w:num w:numId="10">
    <w:abstractNumId w:val="19"/>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13"/>
  </w:num>
  <w:num w:numId="26">
    <w:abstractNumId w:val="12"/>
  </w:num>
  <w:num w:numId="27">
    <w:abstractNumId w:val="17"/>
  </w:num>
  <w:num w:numId="28">
    <w:abstractNumId w:val="11"/>
  </w:num>
  <w:num w:numId="29">
    <w:abstractNumId w:val="20"/>
  </w:num>
  <w:num w:numId="30">
    <w:abstractNumId w:val="24"/>
  </w:num>
  <w:num w:numId="31">
    <w:abstractNumId w:val="29"/>
  </w:num>
  <w:num w:numId="32">
    <w:abstractNumId w:val="23"/>
  </w:num>
  <w:num w:numId="33">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221"/>
    <w:rsid w:val="000315AE"/>
    <w:rsid w:val="0004781E"/>
    <w:rsid w:val="00054864"/>
    <w:rsid w:val="00080AAE"/>
    <w:rsid w:val="00082EE5"/>
    <w:rsid w:val="0008758A"/>
    <w:rsid w:val="000970BF"/>
    <w:rsid w:val="000A140C"/>
    <w:rsid w:val="000A42F6"/>
    <w:rsid w:val="000C1E68"/>
    <w:rsid w:val="000D20DF"/>
    <w:rsid w:val="000D3CBE"/>
    <w:rsid w:val="000E5E58"/>
    <w:rsid w:val="00113CD2"/>
    <w:rsid w:val="00125497"/>
    <w:rsid w:val="00146AE2"/>
    <w:rsid w:val="001522DF"/>
    <w:rsid w:val="00152367"/>
    <w:rsid w:val="00153991"/>
    <w:rsid w:val="001A2EFD"/>
    <w:rsid w:val="001A3B3D"/>
    <w:rsid w:val="001B67DC"/>
    <w:rsid w:val="001D2B6C"/>
    <w:rsid w:val="001D6B7C"/>
    <w:rsid w:val="001F1E47"/>
    <w:rsid w:val="001F358F"/>
    <w:rsid w:val="00205FAD"/>
    <w:rsid w:val="00212768"/>
    <w:rsid w:val="002254A9"/>
    <w:rsid w:val="00233D97"/>
    <w:rsid w:val="002347A2"/>
    <w:rsid w:val="0026167A"/>
    <w:rsid w:val="002850E3"/>
    <w:rsid w:val="0029436B"/>
    <w:rsid w:val="002B656B"/>
    <w:rsid w:val="00305E13"/>
    <w:rsid w:val="00307D8D"/>
    <w:rsid w:val="003138DD"/>
    <w:rsid w:val="00343878"/>
    <w:rsid w:val="00350F78"/>
    <w:rsid w:val="00354FCF"/>
    <w:rsid w:val="003645D7"/>
    <w:rsid w:val="00366096"/>
    <w:rsid w:val="0037372D"/>
    <w:rsid w:val="0037797D"/>
    <w:rsid w:val="0039128B"/>
    <w:rsid w:val="00391997"/>
    <w:rsid w:val="00393DA4"/>
    <w:rsid w:val="003A19E2"/>
    <w:rsid w:val="003B2B40"/>
    <w:rsid w:val="003B2CEB"/>
    <w:rsid w:val="003B4E04"/>
    <w:rsid w:val="003E10B8"/>
    <w:rsid w:val="003E63C2"/>
    <w:rsid w:val="003F5A08"/>
    <w:rsid w:val="00400E3D"/>
    <w:rsid w:val="00401EF3"/>
    <w:rsid w:val="00402212"/>
    <w:rsid w:val="004054D9"/>
    <w:rsid w:val="00410761"/>
    <w:rsid w:val="0041563B"/>
    <w:rsid w:val="00415F36"/>
    <w:rsid w:val="00420716"/>
    <w:rsid w:val="0042407D"/>
    <w:rsid w:val="0042514D"/>
    <w:rsid w:val="004325FB"/>
    <w:rsid w:val="004371DF"/>
    <w:rsid w:val="004432BA"/>
    <w:rsid w:val="0044407E"/>
    <w:rsid w:val="00447BB9"/>
    <w:rsid w:val="0046031D"/>
    <w:rsid w:val="00465450"/>
    <w:rsid w:val="00473AC9"/>
    <w:rsid w:val="004B134F"/>
    <w:rsid w:val="004C4BDA"/>
    <w:rsid w:val="004C60FF"/>
    <w:rsid w:val="004D72B5"/>
    <w:rsid w:val="004E1BA6"/>
    <w:rsid w:val="004E7DEE"/>
    <w:rsid w:val="00503F92"/>
    <w:rsid w:val="00545901"/>
    <w:rsid w:val="00551B7F"/>
    <w:rsid w:val="0056610F"/>
    <w:rsid w:val="00575BCA"/>
    <w:rsid w:val="005B0344"/>
    <w:rsid w:val="005B520E"/>
    <w:rsid w:val="005D2EB1"/>
    <w:rsid w:val="005D3AA3"/>
    <w:rsid w:val="005E2800"/>
    <w:rsid w:val="00605825"/>
    <w:rsid w:val="0061516D"/>
    <w:rsid w:val="0062644C"/>
    <w:rsid w:val="00645D22"/>
    <w:rsid w:val="00651A08"/>
    <w:rsid w:val="00654204"/>
    <w:rsid w:val="00662528"/>
    <w:rsid w:val="00670434"/>
    <w:rsid w:val="00682A15"/>
    <w:rsid w:val="00684D00"/>
    <w:rsid w:val="0068517E"/>
    <w:rsid w:val="006874BF"/>
    <w:rsid w:val="006A5D82"/>
    <w:rsid w:val="006B3732"/>
    <w:rsid w:val="006B668C"/>
    <w:rsid w:val="006B6B66"/>
    <w:rsid w:val="006E40DA"/>
    <w:rsid w:val="006F0B64"/>
    <w:rsid w:val="006F3BB2"/>
    <w:rsid w:val="006F6D3D"/>
    <w:rsid w:val="00715BEA"/>
    <w:rsid w:val="007243F5"/>
    <w:rsid w:val="00740EEA"/>
    <w:rsid w:val="00760A87"/>
    <w:rsid w:val="00780336"/>
    <w:rsid w:val="007857FD"/>
    <w:rsid w:val="00794804"/>
    <w:rsid w:val="007B33F1"/>
    <w:rsid w:val="007B6DDA"/>
    <w:rsid w:val="007C0308"/>
    <w:rsid w:val="007C2FF2"/>
    <w:rsid w:val="007C7791"/>
    <w:rsid w:val="007D29CF"/>
    <w:rsid w:val="007D6232"/>
    <w:rsid w:val="007E26F0"/>
    <w:rsid w:val="007F1137"/>
    <w:rsid w:val="007F1F99"/>
    <w:rsid w:val="007F768F"/>
    <w:rsid w:val="0080791D"/>
    <w:rsid w:val="008147B5"/>
    <w:rsid w:val="008150F2"/>
    <w:rsid w:val="00836367"/>
    <w:rsid w:val="00851ED8"/>
    <w:rsid w:val="00855AD7"/>
    <w:rsid w:val="0085763C"/>
    <w:rsid w:val="00873603"/>
    <w:rsid w:val="00876E17"/>
    <w:rsid w:val="00895DF7"/>
    <w:rsid w:val="008A2C7D"/>
    <w:rsid w:val="008A7696"/>
    <w:rsid w:val="008B6524"/>
    <w:rsid w:val="008C4B23"/>
    <w:rsid w:val="008D48E1"/>
    <w:rsid w:val="008F6E2C"/>
    <w:rsid w:val="009303D9"/>
    <w:rsid w:val="00933C64"/>
    <w:rsid w:val="0093799C"/>
    <w:rsid w:val="00954829"/>
    <w:rsid w:val="009701CE"/>
    <w:rsid w:val="00972203"/>
    <w:rsid w:val="009F094A"/>
    <w:rsid w:val="009F1D79"/>
    <w:rsid w:val="00A059B3"/>
    <w:rsid w:val="00A07E7D"/>
    <w:rsid w:val="00A11B17"/>
    <w:rsid w:val="00A125D1"/>
    <w:rsid w:val="00A153C7"/>
    <w:rsid w:val="00A362BA"/>
    <w:rsid w:val="00A47CD8"/>
    <w:rsid w:val="00A60112"/>
    <w:rsid w:val="00A91540"/>
    <w:rsid w:val="00AE3409"/>
    <w:rsid w:val="00B04B28"/>
    <w:rsid w:val="00B11A60"/>
    <w:rsid w:val="00B22613"/>
    <w:rsid w:val="00B2582A"/>
    <w:rsid w:val="00B3273E"/>
    <w:rsid w:val="00B44A76"/>
    <w:rsid w:val="00B46DB8"/>
    <w:rsid w:val="00B66577"/>
    <w:rsid w:val="00B70E45"/>
    <w:rsid w:val="00B768D1"/>
    <w:rsid w:val="00B84CD6"/>
    <w:rsid w:val="00B872C0"/>
    <w:rsid w:val="00B93BFB"/>
    <w:rsid w:val="00BA1025"/>
    <w:rsid w:val="00BA25DD"/>
    <w:rsid w:val="00BA48C3"/>
    <w:rsid w:val="00BC3420"/>
    <w:rsid w:val="00BD2377"/>
    <w:rsid w:val="00BD670B"/>
    <w:rsid w:val="00BD67D0"/>
    <w:rsid w:val="00BE638A"/>
    <w:rsid w:val="00BE6D58"/>
    <w:rsid w:val="00BE7D3C"/>
    <w:rsid w:val="00BF5FF6"/>
    <w:rsid w:val="00C0207F"/>
    <w:rsid w:val="00C16117"/>
    <w:rsid w:val="00C3075A"/>
    <w:rsid w:val="00C3326C"/>
    <w:rsid w:val="00C53773"/>
    <w:rsid w:val="00C919A4"/>
    <w:rsid w:val="00C94768"/>
    <w:rsid w:val="00CA4392"/>
    <w:rsid w:val="00CC393F"/>
    <w:rsid w:val="00CD2AFF"/>
    <w:rsid w:val="00CF2F5D"/>
    <w:rsid w:val="00CF3595"/>
    <w:rsid w:val="00CF6BDD"/>
    <w:rsid w:val="00D20A7F"/>
    <w:rsid w:val="00D2176E"/>
    <w:rsid w:val="00D34C3B"/>
    <w:rsid w:val="00D43E34"/>
    <w:rsid w:val="00D43FE5"/>
    <w:rsid w:val="00D44DF7"/>
    <w:rsid w:val="00D632BE"/>
    <w:rsid w:val="00D634E1"/>
    <w:rsid w:val="00D72D06"/>
    <w:rsid w:val="00D7522C"/>
    <w:rsid w:val="00D7536F"/>
    <w:rsid w:val="00D76668"/>
    <w:rsid w:val="00D93B9B"/>
    <w:rsid w:val="00DA2124"/>
    <w:rsid w:val="00DB35F8"/>
    <w:rsid w:val="00DB5D1A"/>
    <w:rsid w:val="00DF555A"/>
    <w:rsid w:val="00E01438"/>
    <w:rsid w:val="00E02DDB"/>
    <w:rsid w:val="00E07383"/>
    <w:rsid w:val="00E165BC"/>
    <w:rsid w:val="00E531D3"/>
    <w:rsid w:val="00E61E12"/>
    <w:rsid w:val="00E7596C"/>
    <w:rsid w:val="00E84513"/>
    <w:rsid w:val="00E878F2"/>
    <w:rsid w:val="00E90479"/>
    <w:rsid w:val="00EA4E0C"/>
    <w:rsid w:val="00EB09A0"/>
    <w:rsid w:val="00EB1BA8"/>
    <w:rsid w:val="00ED0149"/>
    <w:rsid w:val="00ED6515"/>
    <w:rsid w:val="00EF6ED1"/>
    <w:rsid w:val="00EF7DE3"/>
    <w:rsid w:val="00F019B0"/>
    <w:rsid w:val="00F03103"/>
    <w:rsid w:val="00F23F1E"/>
    <w:rsid w:val="00F271DE"/>
    <w:rsid w:val="00F30B48"/>
    <w:rsid w:val="00F35B56"/>
    <w:rsid w:val="00F6030E"/>
    <w:rsid w:val="00F627DA"/>
    <w:rsid w:val="00F63AE3"/>
    <w:rsid w:val="00F7288F"/>
    <w:rsid w:val="00F758ED"/>
    <w:rsid w:val="00F800FA"/>
    <w:rsid w:val="00F80EBD"/>
    <w:rsid w:val="00F847A6"/>
    <w:rsid w:val="00F91F9C"/>
    <w:rsid w:val="00F9441B"/>
    <w:rsid w:val="00F95E7A"/>
    <w:rsid w:val="00FA4B25"/>
    <w:rsid w:val="00FA4C32"/>
    <w:rsid w:val="00FD502E"/>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inline-flex">
    <w:name w:val="inline-flex"/>
    <w:basedOn w:val="DefaultParagraphFont"/>
    <w:rsid w:val="003E10B8"/>
  </w:style>
  <w:style w:type="character" w:customStyle="1" w:styleId="inline">
    <w:name w:val="inline"/>
    <w:basedOn w:val="DefaultParagraphFont"/>
    <w:rsid w:val="003E10B8"/>
  </w:style>
  <w:style w:type="character" w:customStyle="1" w:styleId="whitespace-nowrap">
    <w:name w:val="whitespace-nowrap"/>
    <w:basedOn w:val="DefaultParagraphFont"/>
    <w:rsid w:val="003E10B8"/>
  </w:style>
  <w:style w:type="character" w:customStyle="1" w:styleId="Heading2Char">
    <w:name w:val="Heading 2 Char"/>
    <w:basedOn w:val="DefaultParagraphFont"/>
    <w:link w:val="Heading2"/>
    <w:rsid w:val="00391997"/>
    <w:rPr>
      <w:i/>
      <w:iCs/>
      <w:noProof/>
    </w:rPr>
  </w:style>
  <w:style w:type="paragraph" w:styleId="ListParagraph">
    <w:name w:val="List Paragraph"/>
    <w:basedOn w:val="Normal"/>
    <w:uiPriority w:val="34"/>
    <w:qFormat/>
    <w:rsid w:val="00410761"/>
    <w:pPr>
      <w:ind w:start="36pt"/>
      <w:contextualSpacing/>
    </w:pPr>
  </w:style>
  <w:style w:type="table" w:styleId="TableGrid">
    <w:name w:val="Table Grid"/>
    <w:basedOn w:val="TableNormal"/>
    <w:rsid w:val="008A769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0479"/>
    <w:rPr>
      <w:b/>
      <w:bCs/>
    </w:rPr>
  </w:style>
  <w:style w:type="character" w:customStyle="1" w:styleId="Heading1Char">
    <w:name w:val="Heading 1 Char"/>
    <w:basedOn w:val="DefaultParagraphFont"/>
    <w:link w:val="Heading1"/>
    <w:rsid w:val="00DF555A"/>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06477">
      <w:bodyDiv w:val="1"/>
      <w:marLeft w:val="0pt"/>
      <w:marRight w:val="0pt"/>
      <w:marTop w:val="0pt"/>
      <w:marBottom w:val="0pt"/>
      <w:divBdr>
        <w:top w:val="none" w:sz="0" w:space="0" w:color="auto"/>
        <w:left w:val="none" w:sz="0" w:space="0" w:color="auto"/>
        <w:bottom w:val="none" w:sz="0" w:space="0" w:color="auto"/>
        <w:right w:val="none" w:sz="0" w:space="0" w:color="auto"/>
      </w:divBdr>
    </w:div>
    <w:div w:id="22560683">
      <w:bodyDiv w:val="1"/>
      <w:marLeft w:val="0pt"/>
      <w:marRight w:val="0pt"/>
      <w:marTop w:val="0pt"/>
      <w:marBottom w:val="0pt"/>
      <w:divBdr>
        <w:top w:val="none" w:sz="0" w:space="0" w:color="auto"/>
        <w:left w:val="none" w:sz="0" w:space="0" w:color="auto"/>
        <w:bottom w:val="none" w:sz="0" w:space="0" w:color="auto"/>
        <w:right w:val="none" w:sz="0" w:space="0" w:color="auto"/>
      </w:divBdr>
    </w:div>
    <w:div w:id="47803323">
      <w:bodyDiv w:val="1"/>
      <w:marLeft w:val="0pt"/>
      <w:marRight w:val="0pt"/>
      <w:marTop w:val="0pt"/>
      <w:marBottom w:val="0pt"/>
      <w:divBdr>
        <w:top w:val="none" w:sz="0" w:space="0" w:color="auto"/>
        <w:left w:val="none" w:sz="0" w:space="0" w:color="auto"/>
        <w:bottom w:val="none" w:sz="0" w:space="0" w:color="auto"/>
        <w:right w:val="none" w:sz="0" w:space="0" w:color="auto"/>
      </w:divBdr>
    </w:div>
    <w:div w:id="60561147">
      <w:bodyDiv w:val="1"/>
      <w:marLeft w:val="0pt"/>
      <w:marRight w:val="0pt"/>
      <w:marTop w:val="0pt"/>
      <w:marBottom w:val="0pt"/>
      <w:divBdr>
        <w:top w:val="none" w:sz="0" w:space="0" w:color="auto"/>
        <w:left w:val="none" w:sz="0" w:space="0" w:color="auto"/>
        <w:bottom w:val="none" w:sz="0" w:space="0" w:color="auto"/>
        <w:right w:val="none" w:sz="0" w:space="0" w:color="auto"/>
      </w:divBdr>
    </w:div>
    <w:div w:id="76023480">
      <w:bodyDiv w:val="1"/>
      <w:marLeft w:val="0pt"/>
      <w:marRight w:val="0pt"/>
      <w:marTop w:val="0pt"/>
      <w:marBottom w:val="0pt"/>
      <w:divBdr>
        <w:top w:val="none" w:sz="0" w:space="0" w:color="auto"/>
        <w:left w:val="none" w:sz="0" w:space="0" w:color="auto"/>
        <w:bottom w:val="none" w:sz="0" w:space="0" w:color="auto"/>
        <w:right w:val="none" w:sz="0" w:space="0" w:color="auto"/>
      </w:divBdr>
    </w:div>
    <w:div w:id="76875855">
      <w:bodyDiv w:val="1"/>
      <w:marLeft w:val="0pt"/>
      <w:marRight w:val="0pt"/>
      <w:marTop w:val="0pt"/>
      <w:marBottom w:val="0pt"/>
      <w:divBdr>
        <w:top w:val="none" w:sz="0" w:space="0" w:color="auto"/>
        <w:left w:val="none" w:sz="0" w:space="0" w:color="auto"/>
        <w:bottom w:val="none" w:sz="0" w:space="0" w:color="auto"/>
        <w:right w:val="none" w:sz="0" w:space="0" w:color="auto"/>
      </w:divBdr>
    </w:div>
    <w:div w:id="91243152">
      <w:bodyDiv w:val="1"/>
      <w:marLeft w:val="0pt"/>
      <w:marRight w:val="0pt"/>
      <w:marTop w:val="0pt"/>
      <w:marBottom w:val="0pt"/>
      <w:divBdr>
        <w:top w:val="none" w:sz="0" w:space="0" w:color="auto"/>
        <w:left w:val="none" w:sz="0" w:space="0" w:color="auto"/>
        <w:bottom w:val="none" w:sz="0" w:space="0" w:color="auto"/>
        <w:right w:val="none" w:sz="0" w:space="0" w:color="auto"/>
      </w:divBdr>
    </w:div>
    <w:div w:id="115873411">
      <w:bodyDiv w:val="1"/>
      <w:marLeft w:val="0pt"/>
      <w:marRight w:val="0pt"/>
      <w:marTop w:val="0pt"/>
      <w:marBottom w:val="0pt"/>
      <w:divBdr>
        <w:top w:val="none" w:sz="0" w:space="0" w:color="auto"/>
        <w:left w:val="none" w:sz="0" w:space="0" w:color="auto"/>
        <w:bottom w:val="none" w:sz="0" w:space="0" w:color="auto"/>
        <w:right w:val="none" w:sz="0" w:space="0" w:color="auto"/>
      </w:divBdr>
    </w:div>
    <w:div w:id="136386170">
      <w:bodyDiv w:val="1"/>
      <w:marLeft w:val="0pt"/>
      <w:marRight w:val="0pt"/>
      <w:marTop w:val="0pt"/>
      <w:marBottom w:val="0pt"/>
      <w:divBdr>
        <w:top w:val="none" w:sz="0" w:space="0" w:color="auto"/>
        <w:left w:val="none" w:sz="0" w:space="0" w:color="auto"/>
        <w:bottom w:val="none" w:sz="0" w:space="0" w:color="auto"/>
        <w:right w:val="none" w:sz="0" w:space="0" w:color="auto"/>
      </w:divBdr>
    </w:div>
    <w:div w:id="162819722">
      <w:bodyDiv w:val="1"/>
      <w:marLeft w:val="0pt"/>
      <w:marRight w:val="0pt"/>
      <w:marTop w:val="0pt"/>
      <w:marBottom w:val="0pt"/>
      <w:divBdr>
        <w:top w:val="none" w:sz="0" w:space="0" w:color="auto"/>
        <w:left w:val="none" w:sz="0" w:space="0" w:color="auto"/>
        <w:bottom w:val="none" w:sz="0" w:space="0" w:color="auto"/>
        <w:right w:val="none" w:sz="0" w:space="0" w:color="auto"/>
      </w:divBdr>
    </w:div>
    <w:div w:id="171769894">
      <w:bodyDiv w:val="1"/>
      <w:marLeft w:val="0pt"/>
      <w:marRight w:val="0pt"/>
      <w:marTop w:val="0pt"/>
      <w:marBottom w:val="0pt"/>
      <w:divBdr>
        <w:top w:val="none" w:sz="0" w:space="0" w:color="auto"/>
        <w:left w:val="none" w:sz="0" w:space="0" w:color="auto"/>
        <w:bottom w:val="none" w:sz="0" w:space="0" w:color="auto"/>
        <w:right w:val="none" w:sz="0" w:space="0" w:color="auto"/>
      </w:divBdr>
    </w:div>
    <w:div w:id="196746455">
      <w:bodyDiv w:val="1"/>
      <w:marLeft w:val="0pt"/>
      <w:marRight w:val="0pt"/>
      <w:marTop w:val="0pt"/>
      <w:marBottom w:val="0pt"/>
      <w:divBdr>
        <w:top w:val="none" w:sz="0" w:space="0" w:color="auto"/>
        <w:left w:val="none" w:sz="0" w:space="0" w:color="auto"/>
        <w:bottom w:val="none" w:sz="0" w:space="0" w:color="auto"/>
        <w:right w:val="none" w:sz="0" w:space="0" w:color="auto"/>
      </w:divBdr>
    </w:div>
    <w:div w:id="264505079">
      <w:bodyDiv w:val="1"/>
      <w:marLeft w:val="0pt"/>
      <w:marRight w:val="0pt"/>
      <w:marTop w:val="0pt"/>
      <w:marBottom w:val="0pt"/>
      <w:divBdr>
        <w:top w:val="none" w:sz="0" w:space="0" w:color="auto"/>
        <w:left w:val="none" w:sz="0" w:space="0" w:color="auto"/>
        <w:bottom w:val="none" w:sz="0" w:space="0" w:color="auto"/>
        <w:right w:val="none" w:sz="0" w:space="0" w:color="auto"/>
      </w:divBdr>
    </w:div>
    <w:div w:id="306864434">
      <w:bodyDiv w:val="1"/>
      <w:marLeft w:val="0pt"/>
      <w:marRight w:val="0pt"/>
      <w:marTop w:val="0pt"/>
      <w:marBottom w:val="0pt"/>
      <w:divBdr>
        <w:top w:val="none" w:sz="0" w:space="0" w:color="auto"/>
        <w:left w:val="none" w:sz="0" w:space="0" w:color="auto"/>
        <w:bottom w:val="none" w:sz="0" w:space="0" w:color="auto"/>
        <w:right w:val="none" w:sz="0" w:space="0" w:color="auto"/>
      </w:divBdr>
    </w:div>
    <w:div w:id="315646199">
      <w:bodyDiv w:val="1"/>
      <w:marLeft w:val="0pt"/>
      <w:marRight w:val="0pt"/>
      <w:marTop w:val="0pt"/>
      <w:marBottom w:val="0pt"/>
      <w:divBdr>
        <w:top w:val="none" w:sz="0" w:space="0" w:color="auto"/>
        <w:left w:val="none" w:sz="0" w:space="0" w:color="auto"/>
        <w:bottom w:val="none" w:sz="0" w:space="0" w:color="auto"/>
        <w:right w:val="none" w:sz="0" w:space="0" w:color="auto"/>
      </w:divBdr>
    </w:div>
    <w:div w:id="324676204">
      <w:bodyDiv w:val="1"/>
      <w:marLeft w:val="0pt"/>
      <w:marRight w:val="0pt"/>
      <w:marTop w:val="0pt"/>
      <w:marBottom w:val="0pt"/>
      <w:divBdr>
        <w:top w:val="none" w:sz="0" w:space="0" w:color="auto"/>
        <w:left w:val="none" w:sz="0" w:space="0" w:color="auto"/>
        <w:bottom w:val="none" w:sz="0" w:space="0" w:color="auto"/>
        <w:right w:val="none" w:sz="0" w:space="0" w:color="auto"/>
      </w:divBdr>
    </w:div>
    <w:div w:id="351298383">
      <w:bodyDiv w:val="1"/>
      <w:marLeft w:val="0pt"/>
      <w:marRight w:val="0pt"/>
      <w:marTop w:val="0pt"/>
      <w:marBottom w:val="0pt"/>
      <w:divBdr>
        <w:top w:val="none" w:sz="0" w:space="0" w:color="auto"/>
        <w:left w:val="none" w:sz="0" w:space="0" w:color="auto"/>
        <w:bottom w:val="none" w:sz="0" w:space="0" w:color="auto"/>
        <w:right w:val="none" w:sz="0" w:space="0" w:color="auto"/>
      </w:divBdr>
    </w:div>
    <w:div w:id="366834217">
      <w:bodyDiv w:val="1"/>
      <w:marLeft w:val="0pt"/>
      <w:marRight w:val="0pt"/>
      <w:marTop w:val="0pt"/>
      <w:marBottom w:val="0pt"/>
      <w:divBdr>
        <w:top w:val="none" w:sz="0" w:space="0" w:color="auto"/>
        <w:left w:val="none" w:sz="0" w:space="0" w:color="auto"/>
        <w:bottom w:val="none" w:sz="0" w:space="0" w:color="auto"/>
        <w:right w:val="none" w:sz="0" w:space="0" w:color="auto"/>
      </w:divBdr>
    </w:div>
    <w:div w:id="370150241">
      <w:bodyDiv w:val="1"/>
      <w:marLeft w:val="0pt"/>
      <w:marRight w:val="0pt"/>
      <w:marTop w:val="0pt"/>
      <w:marBottom w:val="0pt"/>
      <w:divBdr>
        <w:top w:val="none" w:sz="0" w:space="0" w:color="auto"/>
        <w:left w:val="none" w:sz="0" w:space="0" w:color="auto"/>
        <w:bottom w:val="none" w:sz="0" w:space="0" w:color="auto"/>
        <w:right w:val="none" w:sz="0" w:space="0" w:color="auto"/>
      </w:divBdr>
    </w:div>
    <w:div w:id="415173635">
      <w:bodyDiv w:val="1"/>
      <w:marLeft w:val="0pt"/>
      <w:marRight w:val="0pt"/>
      <w:marTop w:val="0pt"/>
      <w:marBottom w:val="0pt"/>
      <w:divBdr>
        <w:top w:val="none" w:sz="0" w:space="0" w:color="auto"/>
        <w:left w:val="none" w:sz="0" w:space="0" w:color="auto"/>
        <w:bottom w:val="none" w:sz="0" w:space="0" w:color="auto"/>
        <w:right w:val="none" w:sz="0" w:space="0" w:color="auto"/>
      </w:divBdr>
    </w:div>
    <w:div w:id="427774173">
      <w:bodyDiv w:val="1"/>
      <w:marLeft w:val="0pt"/>
      <w:marRight w:val="0pt"/>
      <w:marTop w:val="0pt"/>
      <w:marBottom w:val="0pt"/>
      <w:divBdr>
        <w:top w:val="none" w:sz="0" w:space="0" w:color="auto"/>
        <w:left w:val="none" w:sz="0" w:space="0" w:color="auto"/>
        <w:bottom w:val="none" w:sz="0" w:space="0" w:color="auto"/>
        <w:right w:val="none" w:sz="0" w:space="0" w:color="auto"/>
      </w:divBdr>
    </w:div>
    <w:div w:id="433206511">
      <w:bodyDiv w:val="1"/>
      <w:marLeft w:val="0pt"/>
      <w:marRight w:val="0pt"/>
      <w:marTop w:val="0pt"/>
      <w:marBottom w:val="0pt"/>
      <w:divBdr>
        <w:top w:val="none" w:sz="0" w:space="0" w:color="auto"/>
        <w:left w:val="none" w:sz="0" w:space="0" w:color="auto"/>
        <w:bottom w:val="none" w:sz="0" w:space="0" w:color="auto"/>
        <w:right w:val="none" w:sz="0" w:space="0" w:color="auto"/>
      </w:divBdr>
    </w:div>
    <w:div w:id="441077709">
      <w:bodyDiv w:val="1"/>
      <w:marLeft w:val="0pt"/>
      <w:marRight w:val="0pt"/>
      <w:marTop w:val="0pt"/>
      <w:marBottom w:val="0pt"/>
      <w:divBdr>
        <w:top w:val="none" w:sz="0" w:space="0" w:color="auto"/>
        <w:left w:val="none" w:sz="0" w:space="0" w:color="auto"/>
        <w:bottom w:val="none" w:sz="0" w:space="0" w:color="auto"/>
        <w:right w:val="none" w:sz="0" w:space="0" w:color="auto"/>
      </w:divBdr>
    </w:div>
    <w:div w:id="458569790">
      <w:bodyDiv w:val="1"/>
      <w:marLeft w:val="0pt"/>
      <w:marRight w:val="0pt"/>
      <w:marTop w:val="0pt"/>
      <w:marBottom w:val="0pt"/>
      <w:divBdr>
        <w:top w:val="none" w:sz="0" w:space="0" w:color="auto"/>
        <w:left w:val="none" w:sz="0" w:space="0" w:color="auto"/>
        <w:bottom w:val="none" w:sz="0" w:space="0" w:color="auto"/>
        <w:right w:val="none" w:sz="0" w:space="0" w:color="auto"/>
      </w:divBdr>
    </w:div>
    <w:div w:id="500782458">
      <w:bodyDiv w:val="1"/>
      <w:marLeft w:val="0pt"/>
      <w:marRight w:val="0pt"/>
      <w:marTop w:val="0pt"/>
      <w:marBottom w:val="0pt"/>
      <w:divBdr>
        <w:top w:val="none" w:sz="0" w:space="0" w:color="auto"/>
        <w:left w:val="none" w:sz="0" w:space="0" w:color="auto"/>
        <w:bottom w:val="none" w:sz="0" w:space="0" w:color="auto"/>
        <w:right w:val="none" w:sz="0" w:space="0" w:color="auto"/>
      </w:divBdr>
    </w:div>
    <w:div w:id="584145508">
      <w:bodyDiv w:val="1"/>
      <w:marLeft w:val="0pt"/>
      <w:marRight w:val="0pt"/>
      <w:marTop w:val="0pt"/>
      <w:marBottom w:val="0pt"/>
      <w:divBdr>
        <w:top w:val="none" w:sz="0" w:space="0" w:color="auto"/>
        <w:left w:val="none" w:sz="0" w:space="0" w:color="auto"/>
        <w:bottom w:val="none" w:sz="0" w:space="0" w:color="auto"/>
        <w:right w:val="none" w:sz="0" w:space="0" w:color="auto"/>
      </w:divBdr>
    </w:div>
    <w:div w:id="650252343">
      <w:bodyDiv w:val="1"/>
      <w:marLeft w:val="0pt"/>
      <w:marRight w:val="0pt"/>
      <w:marTop w:val="0pt"/>
      <w:marBottom w:val="0pt"/>
      <w:divBdr>
        <w:top w:val="none" w:sz="0" w:space="0" w:color="auto"/>
        <w:left w:val="none" w:sz="0" w:space="0" w:color="auto"/>
        <w:bottom w:val="none" w:sz="0" w:space="0" w:color="auto"/>
        <w:right w:val="none" w:sz="0" w:space="0" w:color="auto"/>
      </w:divBdr>
    </w:div>
    <w:div w:id="714935505">
      <w:bodyDiv w:val="1"/>
      <w:marLeft w:val="0pt"/>
      <w:marRight w:val="0pt"/>
      <w:marTop w:val="0pt"/>
      <w:marBottom w:val="0pt"/>
      <w:divBdr>
        <w:top w:val="none" w:sz="0" w:space="0" w:color="auto"/>
        <w:left w:val="none" w:sz="0" w:space="0" w:color="auto"/>
        <w:bottom w:val="none" w:sz="0" w:space="0" w:color="auto"/>
        <w:right w:val="none" w:sz="0" w:space="0" w:color="auto"/>
      </w:divBdr>
    </w:div>
    <w:div w:id="720515133">
      <w:bodyDiv w:val="1"/>
      <w:marLeft w:val="0pt"/>
      <w:marRight w:val="0pt"/>
      <w:marTop w:val="0pt"/>
      <w:marBottom w:val="0pt"/>
      <w:divBdr>
        <w:top w:val="none" w:sz="0" w:space="0" w:color="auto"/>
        <w:left w:val="none" w:sz="0" w:space="0" w:color="auto"/>
        <w:bottom w:val="none" w:sz="0" w:space="0" w:color="auto"/>
        <w:right w:val="none" w:sz="0" w:space="0" w:color="auto"/>
      </w:divBdr>
    </w:div>
    <w:div w:id="7315819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3107276">
          <w:marLeft w:val="0pt"/>
          <w:marRight w:val="0pt"/>
          <w:marTop w:val="0pt"/>
          <w:marBottom w:val="0pt"/>
          <w:divBdr>
            <w:top w:val="none" w:sz="0" w:space="0" w:color="auto"/>
            <w:left w:val="none" w:sz="0" w:space="0" w:color="auto"/>
            <w:bottom w:val="none" w:sz="0" w:space="0" w:color="auto"/>
            <w:right w:val="none" w:sz="0" w:space="0" w:color="auto"/>
          </w:divBdr>
          <w:divsChild>
            <w:div w:id="789783661">
              <w:marLeft w:val="0pt"/>
              <w:marRight w:val="0pt"/>
              <w:marTop w:val="0pt"/>
              <w:marBottom w:val="0pt"/>
              <w:divBdr>
                <w:top w:val="none" w:sz="0" w:space="0" w:color="auto"/>
                <w:left w:val="none" w:sz="0" w:space="0" w:color="auto"/>
                <w:bottom w:val="none" w:sz="0" w:space="0" w:color="auto"/>
                <w:right w:val="none" w:sz="0" w:space="0" w:color="auto"/>
              </w:divBdr>
            </w:div>
            <w:div w:id="17827207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6656218">
      <w:bodyDiv w:val="1"/>
      <w:marLeft w:val="0pt"/>
      <w:marRight w:val="0pt"/>
      <w:marTop w:val="0pt"/>
      <w:marBottom w:val="0pt"/>
      <w:divBdr>
        <w:top w:val="none" w:sz="0" w:space="0" w:color="auto"/>
        <w:left w:val="none" w:sz="0" w:space="0" w:color="auto"/>
        <w:bottom w:val="none" w:sz="0" w:space="0" w:color="auto"/>
        <w:right w:val="none" w:sz="0" w:space="0" w:color="auto"/>
      </w:divBdr>
    </w:div>
    <w:div w:id="787895553">
      <w:bodyDiv w:val="1"/>
      <w:marLeft w:val="0pt"/>
      <w:marRight w:val="0pt"/>
      <w:marTop w:val="0pt"/>
      <w:marBottom w:val="0pt"/>
      <w:divBdr>
        <w:top w:val="none" w:sz="0" w:space="0" w:color="auto"/>
        <w:left w:val="none" w:sz="0" w:space="0" w:color="auto"/>
        <w:bottom w:val="none" w:sz="0" w:space="0" w:color="auto"/>
        <w:right w:val="none" w:sz="0" w:space="0" w:color="auto"/>
      </w:divBdr>
    </w:div>
    <w:div w:id="820728794">
      <w:bodyDiv w:val="1"/>
      <w:marLeft w:val="0pt"/>
      <w:marRight w:val="0pt"/>
      <w:marTop w:val="0pt"/>
      <w:marBottom w:val="0pt"/>
      <w:divBdr>
        <w:top w:val="none" w:sz="0" w:space="0" w:color="auto"/>
        <w:left w:val="none" w:sz="0" w:space="0" w:color="auto"/>
        <w:bottom w:val="none" w:sz="0" w:space="0" w:color="auto"/>
        <w:right w:val="none" w:sz="0" w:space="0" w:color="auto"/>
      </w:divBdr>
    </w:div>
    <w:div w:id="975986421">
      <w:bodyDiv w:val="1"/>
      <w:marLeft w:val="0pt"/>
      <w:marRight w:val="0pt"/>
      <w:marTop w:val="0pt"/>
      <w:marBottom w:val="0pt"/>
      <w:divBdr>
        <w:top w:val="none" w:sz="0" w:space="0" w:color="auto"/>
        <w:left w:val="none" w:sz="0" w:space="0" w:color="auto"/>
        <w:bottom w:val="none" w:sz="0" w:space="0" w:color="auto"/>
        <w:right w:val="none" w:sz="0" w:space="0" w:color="auto"/>
      </w:divBdr>
    </w:div>
    <w:div w:id="1008798716">
      <w:bodyDiv w:val="1"/>
      <w:marLeft w:val="0pt"/>
      <w:marRight w:val="0pt"/>
      <w:marTop w:val="0pt"/>
      <w:marBottom w:val="0pt"/>
      <w:divBdr>
        <w:top w:val="none" w:sz="0" w:space="0" w:color="auto"/>
        <w:left w:val="none" w:sz="0" w:space="0" w:color="auto"/>
        <w:bottom w:val="none" w:sz="0" w:space="0" w:color="auto"/>
        <w:right w:val="none" w:sz="0" w:space="0" w:color="auto"/>
      </w:divBdr>
    </w:div>
    <w:div w:id="1033070211">
      <w:bodyDiv w:val="1"/>
      <w:marLeft w:val="0pt"/>
      <w:marRight w:val="0pt"/>
      <w:marTop w:val="0pt"/>
      <w:marBottom w:val="0pt"/>
      <w:divBdr>
        <w:top w:val="none" w:sz="0" w:space="0" w:color="auto"/>
        <w:left w:val="none" w:sz="0" w:space="0" w:color="auto"/>
        <w:bottom w:val="none" w:sz="0" w:space="0" w:color="auto"/>
        <w:right w:val="none" w:sz="0" w:space="0" w:color="auto"/>
      </w:divBdr>
    </w:div>
    <w:div w:id="1042243488">
      <w:bodyDiv w:val="1"/>
      <w:marLeft w:val="0pt"/>
      <w:marRight w:val="0pt"/>
      <w:marTop w:val="0pt"/>
      <w:marBottom w:val="0pt"/>
      <w:divBdr>
        <w:top w:val="none" w:sz="0" w:space="0" w:color="auto"/>
        <w:left w:val="none" w:sz="0" w:space="0" w:color="auto"/>
        <w:bottom w:val="none" w:sz="0" w:space="0" w:color="auto"/>
        <w:right w:val="none" w:sz="0" w:space="0" w:color="auto"/>
      </w:divBdr>
    </w:div>
    <w:div w:id="1047291219">
      <w:bodyDiv w:val="1"/>
      <w:marLeft w:val="0pt"/>
      <w:marRight w:val="0pt"/>
      <w:marTop w:val="0pt"/>
      <w:marBottom w:val="0pt"/>
      <w:divBdr>
        <w:top w:val="none" w:sz="0" w:space="0" w:color="auto"/>
        <w:left w:val="none" w:sz="0" w:space="0" w:color="auto"/>
        <w:bottom w:val="none" w:sz="0" w:space="0" w:color="auto"/>
        <w:right w:val="none" w:sz="0" w:space="0" w:color="auto"/>
      </w:divBdr>
    </w:div>
    <w:div w:id="1057825060">
      <w:bodyDiv w:val="1"/>
      <w:marLeft w:val="0pt"/>
      <w:marRight w:val="0pt"/>
      <w:marTop w:val="0pt"/>
      <w:marBottom w:val="0pt"/>
      <w:divBdr>
        <w:top w:val="none" w:sz="0" w:space="0" w:color="auto"/>
        <w:left w:val="none" w:sz="0" w:space="0" w:color="auto"/>
        <w:bottom w:val="none" w:sz="0" w:space="0" w:color="auto"/>
        <w:right w:val="none" w:sz="0" w:space="0" w:color="auto"/>
      </w:divBdr>
    </w:div>
    <w:div w:id="1060639494">
      <w:bodyDiv w:val="1"/>
      <w:marLeft w:val="0pt"/>
      <w:marRight w:val="0pt"/>
      <w:marTop w:val="0pt"/>
      <w:marBottom w:val="0pt"/>
      <w:divBdr>
        <w:top w:val="none" w:sz="0" w:space="0" w:color="auto"/>
        <w:left w:val="none" w:sz="0" w:space="0" w:color="auto"/>
        <w:bottom w:val="none" w:sz="0" w:space="0" w:color="auto"/>
        <w:right w:val="none" w:sz="0" w:space="0" w:color="auto"/>
      </w:divBdr>
    </w:div>
    <w:div w:id="1090539551">
      <w:bodyDiv w:val="1"/>
      <w:marLeft w:val="0pt"/>
      <w:marRight w:val="0pt"/>
      <w:marTop w:val="0pt"/>
      <w:marBottom w:val="0pt"/>
      <w:divBdr>
        <w:top w:val="none" w:sz="0" w:space="0" w:color="auto"/>
        <w:left w:val="none" w:sz="0" w:space="0" w:color="auto"/>
        <w:bottom w:val="none" w:sz="0" w:space="0" w:color="auto"/>
        <w:right w:val="none" w:sz="0" w:space="0" w:color="auto"/>
      </w:divBdr>
    </w:div>
    <w:div w:id="1100299269">
      <w:bodyDiv w:val="1"/>
      <w:marLeft w:val="0pt"/>
      <w:marRight w:val="0pt"/>
      <w:marTop w:val="0pt"/>
      <w:marBottom w:val="0pt"/>
      <w:divBdr>
        <w:top w:val="none" w:sz="0" w:space="0" w:color="auto"/>
        <w:left w:val="none" w:sz="0" w:space="0" w:color="auto"/>
        <w:bottom w:val="none" w:sz="0" w:space="0" w:color="auto"/>
        <w:right w:val="none" w:sz="0" w:space="0" w:color="auto"/>
      </w:divBdr>
    </w:div>
    <w:div w:id="1140461450">
      <w:bodyDiv w:val="1"/>
      <w:marLeft w:val="0pt"/>
      <w:marRight w:val="0pt"/>
      <w:marTop w:val="0pt"/>
      <w:marBottom w:val="0pt"/>
      <w:divBdr>
        <w:top w:val="none" w:sz="0" w:space="0" w:color="auto"/>
        <w:left w:val="none" w:sz="0" w:space="0" w:color="auto"/>
        <w:bottom w:val="none" w:sz="0" w:space="0" w:color="auto"/>
        <w:right w:val="none" w:sz="0" w:space="0" w:color="auto"/>
      </w:divBdr>
    </w:div>
    <w:div w:id="1168984492">
      <w:bodyDiv w:val="1"/>
      <w:marLeft w:val="0pt"/>
      <w:marRight w:val="0pt"/>
      <w:marTop w:val="0pt"/>
      <w:marBottom w:val="0pt"/>
      <w:divBdr>
        <w:top w:val="none" w:sz="0" w:space="0" w:color="auto"/>
        <w:left w:val="none" w:sz="0" w:space="0" w:color="auto"/>
        <w:bottom w:val="none" w:sz="0" w:space="0" w:color="auto"/>
        <w:right w:val="none" w:sz="0" w:space="0" w:color="auto"/>
      </w:divBdr>
    </w:div>
    <w:div w:id="1205101588">
      <w:bodyDiv w:val="1"/>
      <w:marLeft w:val="0pt"/>
      <w:marRight w:val="0pt"/>
      <w:marTop w:val="0pt"/>
      <w:marBottom w:val="0pt"/>
      <w:divBdr>
        <w:top w:val="none" w:sz="0" w:space="0" w:color="auto"/>
        <w:left w:val="none" w:sz="0" w:space="0" w:color="auto"/>
        <w:bottom w:val="none" w:sz="0" w:space="0" w:color="auto"/>
        <w:right w:val="none" w:sz="0" w:space="0" w:color="auto"/>
      </w:divBdr>
    </w:div>
    <w:div w:id="1207064082">
      <w:bodyDiv w:val="1"/>
      <w:marLeft w:val="0pt"/>
      <w:marRight w:val="0pt"/>
      <w:marTop w:val="0pt"/>
      <w:marBottom w:val="0pt"/>
      <w:divBdr>
        <w:top w:val="none" w:sz="0" w:space="0" w:color="auto"/>
        <w:left w:val="none" w:sz="0" w:space="0" w:color="auto"/>
        <w:bottom w:val="none" w:sz="0" w:space="0" w:color="auto"/>
        <w:right w:val="none" w:sz="0" w:space="0" w:color="auto"/>
      </w:divBdr>
    </w:div>
    <w:div w:id="1223248946">
      <w:bodyDiv w:val="1"/>
      <w:marLeft w:val="0pt"/>
      <w:marRight w:val="0pt"/>
      <w:marTop w:val="0pt"/>
      <w:marBottom w:val="0pt"/>
      <w:divBdr>
        <w:top w:val="none" w:sz="0" w:space="0" w:color="auto"/>
        <w:left w:val="none" w:sz="0" w:space="0" w:color="auto"/>
        <w:bottom w:val="none" w:sz="0" w:space="0" w:color="auto"/>
        <w:right w:val="none" w:sz="0" w:space="0" w:color="auto"/>
      </w:divBdr>
    </w:div>
    <w:div w:id="1224028999">
      <w:bodyDiv w:val="1"/>
      <w:marLeft w:val="0pt"/>
      <w:marRight w:val="0pt"/>
      <w:marTop w:val="0pt"/>
      <w:marBottom w:val="0pt"/>
      <w:divBdr>
        <w:top w:val="none" w:sz="0" w:space="0" w:color="auto"/>
        <w:left w:val="none" w:sz="0" w:space="0" w:color="auto"/>
        <w:bottom w:val="none" w:sz="0" w:space="0" w:color="auto"/>
        <w:right w:val="none" w:sz="0" w:space="0" w:color="auto"/>
      </w:divBdr>
    </w:div>
    <w:div w:id="1227568591">
      <w:bodyDiv w:val="1"/>
      <w:marLeft w:val="0pt"/>
      <w:marRight w:val="0pt"/>
      <w:marTop w:val="0pt"/>
      <w:marBottom w:val="0pt"/>
      <w:divBdr>
        <w:top w:val="none" w:sz="0" w:space="0" w:color="auto"/>
        <w:left w:val="none" w:sz="0" w:space="0" w:color="auto"/>
        <w:bottom w:val="none" w:sz="0" w:space="0" w:color="auto"/>
        <w:right w:val="none" w:sz="0" w:space="0" w:color="auto"/>
      </w:divBdr>
    </w:div>
    <w:div w:id="1269002864">
      <w:bodyDiv w:val="1"/>
      <w:marLeft w:val="0pt"/>
      <w:marRight w:val="0pt"/>
      <w:marTop w:val="0pt"/>
      <w:marBottom w:val="0pt"/>
      <w:divBdr>
        <w:top w:val="none" w:sz="0" w:space="0" w:color="auto"/>
        <w:left w:val="none" w:sz="0" w:space="0" w:color="auto"/>
        <w:bottom w:val="none" w:sz="0" w:space="0" w:color="auto"/>
        <w:right w:val="none" w:sz="0" w:space="0" w:color="auto"/>
      </w:divBdr>
    </w:div>
    <w:div w:id="1273518160">
      <w:bodyDiv w:val="1"/>
      <w:marLeft w:val="0pt"/>
      <w:marRight w:val="0pt"/>
      <w:marTop w:val="0pt"/>
      <w:marBottom w:val="0pt"/>
      <w:divBdr>
        <w:top w:val="none" w:sz="0" w:space="0" w:color="auto"/>
        <w:left w:val="none" w:sz="0" w:space="0" w:color="auto"/>
        <w:bottom w:val="none" w:sz="0" w:space="0" w:color="auto"/>
        <w:right w:val="none" w:sz="0" w:space="0" w:color="auto"/>
      </w:divBdr>
    </w:div>
    <w:div w:id="1285846062">
      <w:bodyDiv w:val="1"/>
      <w:marLeft w:val="0pt"/>
      <w:marRight w:val="0pt"/>
      <w:marTop w:val="0pt"/>
      <w:marBottom w:val="0pt"/>
      <w:divBdr>
        <w:top w:val="none" w:sz="0" w:space="0" w:color="auto"/>
        <w:left w:val="none" w:sz="0" w:space="0" w:color="auto"/>
        <w:bottom w:val="none" w:sz="0" w:space="0" w:color="auto"/>
        <w:right w:val="none" w:sz="0" w:space="0" w:color="auto"/>
      </w:divBdr>
    </w:div>
    <w:div w:id="1302616532">
      <w:bodyDiv w:val="1"/>
      <w:marLeft w:val="0pt"/>
      <w:marRight w:val="0pt"/>
      <w:marTop w:val="0pt"/>
      <w:marBottom w:val="0pt"/>
      <w:divBdr>
        <w:top w:val="none" w:sz="0" w:space="0" w:color="auto"/>
        <w:left w:val="none" w:sz="0" w:space="0" w:color="auto"/>
        <w:bottom w:val="none" w:sz="0" w:space="0" w:color="auto"/>
        <w:right w:val="none" w:sz="0" w:space="0" w:color="auto"/>
      </w:divBdr>
    </w:div>
    <w:div w:id="1318191769">
      <w:bodyDiv w:val="1"/>
      <w:marLeft w:val="0pt"/>
      <w:marRight w:val="0pt"/>
      <w:marTop w:val="0pt"/>
      <w:marBottom w:val="0pt"/>
      <w:divBdr>
        <w:top w:val="none" w:sz="0" w:space="0" w:color="auto"/>
        <w:left w:val="none" w:sz="0" w:space="0" w:color="auto"/>
        <w:bottom w:val="none" w:sz="0" w:space="0" w:color="auto"/>
        <w:right w:val="none" w:sz="0" w:space="0" w:color="auto"/>
      </w:divBdr>
    </w:div>
    <w:div w:id="1355155428">
      <w:bodyDiv w:val="1"/>
      <w:marLeft w:val="0pt"/>
      <w:marRight w:val="0pt"/>
      <w:marTop w:val="0pt"/>
      <w:marBottom w:val="0pt"/>
      <w:divBdr>
        <w:top w:val="none" w:sz="0" w:space="0" w:color="auto"/>
        <w:left w:val="none" w:sz="0" w:space="0" w:color="auto"/>
        <w:bottom w:val="none" w:sz="0" w:space="0" w:color="auto"/>
        <w:right w:val="none" w:sz="0" w:space="0" w:color="auto"/>
      </w:divBdr>
    </w:div>
    <w:div w:id="1379161064">
      <w:bodyDiv w:val="1"/>
      <w:marLeft w:val="0pt"/>
      <w:marRight w:val="0pt"/>
      <w:marTop w:val="0pt"/>
      <w:marBottom w:val="0pt"/>
      <w:divBdr>
        <w:top w:val="none" w:sz="0" w:space="0" w:color="auto"/>
        <w:left w:val="none" w:sz="0" w:space="0" w:color="auto"/>
        <w:bottom w:val="none" w:sz="0" w:space="0" w:color="auto"/>
        <w:right w:val="none" w:sz="0" w:space="0" w:color="auto"/>
      </w:divBdr>
    </w:div>
    <w:div w:id="1390614216">
      <w:bodyDiv w:val="1"/>
      <w:marLeft w:val="0pt"/>
      <w:marRight w:val="0pt"/>
      <w:marTop w:val="0pt"/>
      <w:marBottom w:val="0pt"/>
      <w:divBdr>
        <w:top w:val="none" w:sz="0" w:space="0" w:color="auto"/>
        <w:left w:val="none" w:sz="0" w:space="0" w:color="auto"/>
        <w:bottom w:val="none" w:sz="0" w:space="0" w:color="auto"/>
        <w:right w:val="none" w:sz="0" w:space="0" w:color="auto"/>
      </w:divBdr>
    </w:div>
    <w:div w:id="1427115339">
      <w:bodyDiv w:val="1"/>
      <w:marLeft w:val="0pt"/>
      <w:marRight w:val="0pt"/>
      <w:marTop w:val="0pt"/>
      <w:marBottom w:val="0pt"/>
      <w:divBdr>
        <w:top w:val="none" w:sz="0" w:space="0" w:color="auto"/>
        <w:left w:val="none" w:sz="0" w:space="0" w:color="auto"/>
        <w:bottom w:val="none" w:sz="0" w:space="0" w:color="auto"/>
        <w:right w:val="none" w:sz="0" w:space="0" w:color="auto"/>
      </w:divBdr>
    </w:div>
    <w:div w:id="1431900248">
      <w:bodyDiv w:val="1"/>
      <w:marLeft w:val="0pt"/>
      <w:marRight w:val="0pt"/>
      <w:marTop w:val="0pt"/>
      <w:marBottom w:val="0pt"/>
      <w:divBdr>
        <w:top w:val="none" w:sz="0" w:space="0" w:color="auto"/>
        <w:left w:val="none" w:sz="0" w:space="0" w:color="auto"/>
        <w:bottom w:val="none" w:sz="0" w:space="0" w:color="auto"/>
        <w:right w:val="none" w:sz="0" w:space="0" w:color="auto"/>
      </w:divBdr>
    </w:div>
    <w:div w:id="1467971320">
      <w:bodyDiv w:val="1"/>
      <w:marLeft w:val="0pt"/>
      <w:marRight w:val="0pt"/>
      <w:marTop w:val="0pt"/>
      <w:marBottom w:val="0pt"/>
      <w:divBdr>
        <w:top w:val="none" w:sz="0" w:space="0" w:color="auto"/>
        <w:left w:val="none" w:sz="0" w:space="0" w:color="auto"/>
        <w:bottom w:val="none" w:sz="0" w:space="0" w:color="auto"/>
        <w:right w:val="none" w:sz="0" w:space="0" w:color="auto"/>
      </w:divBdr>
    </w:div>
    <w:div w:id="1533374103">
      <w:bodyDiv w:val="1"/>
      <w:marLeft w:val="0pt"/>
      <w:marRight w:val="0pt"/>
      <w:marTop w:val="0pt"/>
      <w:marBottom w:val="0pt"/>
      <w:divBdr>
        <w:top w:val="none" w:sz="0" w:space="0" w:color="auto"/>
        <w:left w:val="none" w:sz="0" w:space="0" w:color="auto"/>
        <w:bottom w:val="none" w:sz="0" w:space="0" w:color="auto"/>
        <w:right w:val="none" w:sz="0" w:space="0" w:color="auto"/>
      </w:divBdr>
    </w:div>
    <w:div w:id="1551530618">
      <w:bodyDiv w:val="1"/>
      <w:marLeft w:val="0pt"/>
      <w:marRight w:val="0pt"/>
      <w:marTop w:val="0pt"/>
      <w:marBottom w:val="0pt"/>
      <w:divBdr>
        <w:top w:val="none" w:sz="0" w:space="0" w:color="auto"/>
        <w:left w:val="none" w:sz="0" w:space="0" w:color="auto"/>
        <w:bottom w:val="none" w:sz="0" w:space="0" w:color="auto"/>
        <w:right w:val="none" w:sz="0" w:space="0" w:color="auto"/>
      </w:divBdr>
    </w:div>
    <w:div w:id="1570116311">
      <w:bodyDiv w:val="1"/>
      <w:marLeft w:val="0pt"/>
      <w:marRight w:val="0pt"/>
      <w:marTop w:val="0pt"/>
      <w:marBottom w:val="0pt"/>
      <w:divBdr>
        <w:top w:val="none" w:sz="0" w:space="0" w:color="auto"/>
        <w:left w:val="none" w:sz="0" w:space="0" w:color="auto"/>
        <w:bottom w:val="none" w:sz="0" w:space="0" w:color="auto"/>
        <w:right w:val="none" w:sz="0" w:space="0" w:color="auto"/>
      </w:divBdr>
    </w:div>
    <w:div w:id="1572345060">
      <w:bodyDiv w:val="1"/>
      <w:marLeft w:val="0pt"/>
      <w:marRight w:val="0pt"/>
      <w:marTop w:val="0pt"/>
      <w:marBottom w:val="0pt"/>
      <w:divBdr>
        <w:top w:val="none" w:sz="0" w:space="0" w:color="auto"/>
        <w:left w:val="none" w:sz="0" w:space="0" w:color="auto"/>
        <w:bottom w:val="none" w:sz="0" w:space="0" w:color="auto"/>
        <w:right w:val="none" w:sz="0" w:space="0" w:color="auto"/>
      </w:divBdr>
    </w:div>
    <w:div w:id="1582835097">
      <w:bodyDiv w:val="1"/>
      <w:marLeft w:val="0pt"/>
      <w:marRight w:val="0pt"/>
      <w:marTop w:val="0pt"/>
      <w:marBottom w:val="0pt"/>
      <w:divBdr>
        <w:top w:val="none" w:sz="0" w:space="0" w:color="auto"/>
        <w:left w:val="none" w:sz="0" w:space="0" w:color="auto"/>
        <w:bottom w:val="none" w:sz="0" w:space="0" w:color="auto"/>
        <w:right w:val="none" w:sz="0" w:space="0" w:color="auto"/>
      </w:divBdr>
    </w:div>
    <w:div w:id="1623339298">
      <w:bodyDiv w:val="1"/>
      <w:marLeft w:val="0pt"/>
      <w:marRight w:val="0pt"/>
      <w:marTop w:val="0pt"/>
      <w:marBottom w:val="0pt"/>
      <w:divBdr>
        <w:top w:val="none" w:sz="0" w:space="0" w:color="auto"/>
        <w:left w:val="none" w:sz="0" w:space="0" w:color="auto"/>
        <w:bottom w:val="none" w:sz="0" w:space="0" w:color="auto"/>
        <w:right w:val="none" w:sz="0" w:space="0" w:color="auto"/>
      </w:divBdr>
    </w:div>
    <w:div w:id="1651713625">
      <w:bodyDiv w:val="1"/>
      <w:marLeft w:val="0pt"/>
      <w:marRight w:val="0pt"/>
      <w:marTop w:val="0pt"/>
      <w:marBottom w:val="0pt"/>
      <w:divBdr>
        <w:top w:val="none" w:sz="0" w:space="0" w:color="auto"/>
        <w:left w:val="none" w:sz="0" w:space="0" w:color="auto"/>
        <w:bottom w:val="none" w:sz="0" w:space="0" w:color="auto"/>
        <w:right w:val="none" w:sz="0" w:space="0" w:color="auto"/>
      </w:divBdr>
    </w:div>
    <w:div w:id="1688824617">
      <w:bodyDiv w:val="1"/>
      <w:marLeft w:val="0pt"/>
      <w:marRight w:val="0pt"/>
      <w:marTop w:val="0pt"/>
      <w:marBottom w:val="0pt"/>
      <w:divBdr>
        <w:top w:val="none" w:sz="0" w:space="0" w:color="auto"/>
        <w:left w:val="none" w:sz="0" w:space="0" w:color="auto"/>
        <w:bottom w:val="none" w:sz="0" w:space="0" w:color="auto"/>
        <w:right w:val="none" w:sz="0" w:space="0" w:color="auto"/>
      </w:divBdr>
    </w:div>
    <w:div w:id="1690333904">
      <w:bodyDiv w:val="1"/>
      <w:marLeft w:val="0pt"/>
      <w:marRight w:val="0pt"/>
      <w:marTop w:val="0pt"/>
      <w:marBottom w:val="0pt"/>
      <w:divBdr>
        <w:top w:val="none" w:sz="0" w:space="0" w:color="auto"/>
        <w:left w:val="none" w:sz="0" w:space="0" w:color="auto"/>
        <w:bottom w:val="none" w:sz="0" w:space="0" w:color="auto"/>
        <w:right w:val="none" w:sz="0" w:space="0" w:color="auto"/>
      </w:divBdr>
    </w:div>
    <w:div w:id="1750426119">
      <w:bodyDiv w:val="1"/>
      <w:marLeft w:val="0pt"/>
      <w:marRight w:val="0pt"/>
      <w:marTop w:val="0pt"/>
      <w:marBottom w:val="0pt"/>
      <w:divBdr>
        <w:top w:val="none" w:sz="0" w:space="0" w:color="auto"/>
        <w:left w:val="none" w:sz="0" w:space="0" w:color="auto"/>
        <w:bottom w:val="none" w:sz="0" w:space="0" w:color="auto"/>
        <w:right w:val="none" w:sz="0" w:space="0" w:color="auto"/>
      </w:divBdr>
    </w:div>
    <w:div w:id="1772890111">
      <w:bodyDiv w:val="1"/>
      <w:marLeft w:val="0pt"/>
      <w:marRight w:val="0pt"/>
      <w:marTop w:val="0pt"/>
      <w:marBottom w:val="0pt"/>
      <w:divBdr>
        <w:top w:val="none" w:sz="0" w:space="0" w:color="auto"/>
        <w:left w:val="none" w:sz="0" w:space="0" w:color="auto"/>
        <w:bottom w:val="none" w:sz="0" w:space="0" w:color="auto"/>
        <w:right w:val="none" w:sz="0" w:space="0" w:color="auto"/>
      </w:divBdr>
    </w:div>
    <w:div w:id="1774472494">
      <w:bodyDiv w:val="1"/>
      <w:marLeft w:val="0pt"/>
      <w:marRight w:val="0pt"/>
      <w:marTop w:val="0pt"/>
      <w:marBottom w:val="0pt"/>
      <w:divBdr>
        <w:top w:val="none" w:sz="0" w:space="0" w:color="auto"/>
        <w:left w:val="none" w:sz="0" w:space="0" w:color="auto"/>
        <w:bottom w:val="none" w:sz="0" w:space="0" w:color="auto"/>
        <w:right w:val="none" w:sz="0" w:space="0" w:color="auto"/>
      </w:divBdr>
    </w:div>
    <w:div w:id="1775900686">
      <w:bodyDiv w:val="1"/>
      <w:marLeft w:val="0pt"/>
      <w:marRight w:val="0pt"/>
      <w:marTop w:val="0pt"/>
      <w:marBottom w:val="0pt"/>
      <w:divBdr>
        <w:top w:val="none" w:sz="0" w:space="0" w:color="auto"/>
        <w:left w:val="none" w:sz="0" w:space="0" w:color="auto"/>
        <w:bottom w:val="none" w:sz="0" w:space="0" w:color="auto"/>
        <w:right w:val="none" w:sz="0" w:space="0" w:color="auto"/>
      </w:divBdr>
    </w:div>
    <w:div w:id="1836411794">
      <w:bodyDiv w:val="1"/>
      <w:marLeft w:val="0pt"/>
      <w:marRight w:val="0pt"/>
      <w:marTop w:val="0pt"/>
      <w:marBottom w:val="0pt"/>
      <w:divBdr>
        <w:top w:val="none" w:sz="0" w:space="0" w:color="auto"/>
        <w:left w:val="none" w:sz="0" w:space="0" w:color="auto"/>
        <w:bottom w:val="none" w:sz="0" w:space="0" w:color="auto"/>
        <w:right w:val="none" w:sz="0" w:space="0" w:color="auto"/>
      </w:divBdr>
    </w:div>
    <w:div w:id="1839147539">
      <w:bodyDiv w:val="1"/>
      <w:marLeft w:val="0pt"/>
      <w:marRight w:val="0pt"/>
      <w:marTop w:val="0pt"/>
      <w:marBottom w:val="0pt"/>
      <w:divBdr>
        <w:top w:val="none" w:sz="0" w:space="0" w:color="auto"/>
        <w:left w:val="none" w:sz="0" w:space="0" w:color="auto"/>
        <w:bottom w:val="none" w:sz="0" w:space="0" w:color="auto"/>
        <w:right w:val="none" w:sz="0" w:space="0" w:color="auto"/>
      </w:divBdr>
    </w:div>
    <w:div w:id="1859929846">
      <w:bodyDiv w:val="1"/>
      <w:marLeft w:val="0pt"/>
      <w:marRight w:val="0pt"/>
      <w:marTop w:val="0pt"/>
      <w:marBottom w:val="0pt"/>
      <w:divBdr>
        <w:top w:val="none" w:sz="0" w:space="0" w:color="auto"/>
        <w:left w:val="none" w:sz="0" w:space="0" w:color="auto"/>
        <w:bottom w:val="none" w:sz="0" w:space="0" w:color="auto"/>
        <w:right w:val="none" w:sz="0" w:space="0" w:color="auto"/>
      </w:divBdr>
    </w:div>
    <w:div w:id="1897471397">
      <w:bodyDiv w:val="1"/>
      <w:marLeft w:val="0pt"/>
      <w:marRight w:val="0pt"/>
      <w:marTop w:val="0pt"/>
      <w:marBottom w:val="0pt"/>
      <w:divBdr>
        <w:top w:val="none" w:sz="0" w:space="0" w:color="auto"/>
        <w:left w:val="none" w:sz="0" w:space="0" w:color="auto"/>
        <w:bottom w:val="none" w:sz="0" w:space="0" w:color="auto"/>
        <w:right w:val="none" w:sz="0" w:space="0" w:color="auto"/>
      </w:divBdr>
    </w:div>
    <w:div w:id="1909420109">
      <w:bodyDiv w:val="1"/>
      <w:marLeft w:val="0pt"/>
      <w:marRight w:val="0pt"/>
      <w:marTop w:val="0pt"/>
      <w:marBottom w:val="0pt"/>
      <w:divBdr>
        <w:top w:val="none" w:sz="0" w:space="0" w:color="auto"/>
        <w:left w:val="none" w:sz="0" w:space="0" w:color="auto"/>
        <w:bottom w:val="none" w:sz="0" w:space="0" w:color="auto"/>
        <w:right w:val="none" w:sz="0" w:space="0" w:color="auto"/>
      </w:divBdr>
    </w:div>
    <w:div w:id="1918859913">
      <w:bodyDiv w:val="1"/>
      <w:marLeft w:val="0pt"/>
      <w:marRight w:val="0pt"/>
      <w:marTop w:val="0pt"/>
      <w:marBottom w:val="0pt"/>
      <w:divBdr>
        <w:top w:val="none" w:sz="0" w:space="0" w:color="auto"/>
        <w:left w:val="none" w:sz="0" w:space="0" w:color="auto"/>
        <w:bottom w:val="none" w:sz="0" w:space="0" w:color="auto"/>
        <w:right w:val="none" w:sz="0" w:space="0" w:color="auto"/>
      </w:divBdr>
    </w:div>
    <w:div w:id="1945503151">
      <w:bodyDiv w:val="1"/>
      <w:marLeft w:val="0pt"/>
      <w:marRight w:val="0pt"/>
      <w:marTop w:val="0pt"/>
      <w:marBottom w:val="0pt"/>
      <w:divBdr>
        <w:top w:val="none" w:sz="0" w:space="0" w:color="auto"/>
        <w:left w:val="none" w:sz="0" w:space="0" w:color="auto"/>
        <w:bottom w:val="none" w:sz="0" w:space="0" w:color="auto"/>
        <w:right w:val="none" w:sz="0" w:space="0" w:color="auto"/>
      </w:divBdr>
    </w:div>
    <w:div w:id="1985621704">
      <w:bodyDiv w:val="1"/>
      <w:marLeft w:val="0pt"/>
      <w:marRight w:val="0pt"/>
      <w:marTop w:val="0pt"/>
      <w:marBottom w:val="0pt"/>
      <w:divBdr>
        <w:top w:val="none" w:sz="0" w:space="0" w:color="auto"/>
        <w:left w:val="none" w:sz="0" w:space="0" w:color="auto"/>
        <w:bottom w:val="none" w:sz="0" w:space="0" w:color="auto"/>
        <w:right w:val="none" w:sz="0" w:space="0" w:color="auto"/>
      </w:divBdr>
    </w:div>
    <w:div w:id="2000647962">
      <w:bodyDiv w:val="1"/>
      <w:marLeft w:val="0pt"/>
      <w:marRight w:val="0pt"/>
      <w:marTop w:val="0pt"/>
      <w:marBottom w:val="0pt"/>
      <w:divBdr>
        <w:top w:val="none" w:sz="0" w:space="0" w:color="auto"/>
        <w:left w:val="none" w:sz="0" w:space="0" w:color="auto"/>
        <w:bottom w:val="none" w:sz="0" w:space="0" w:color="auto"/>
        <w:right w:val="none" w:sz="0" w:space="0" w:color="auto"/>
      </w:divBdr>
    </w:div>
    <w:div w:id="2003197479">
      <w:bodyDiv w:val="1"/>
      <w:marLeft w:val="0pt"/>
      <w:marRight w:val="0pt"/>
      <w:marTop w:val="0pt"/>
      <w:marBottom w:val="0pt"/>
      <w:divBdr>
        <w:top w:val="none" w:sz="0" w:space="0" w:color="auto"/>
        <w:left w:val="none" w:sz="0" w:space="0" w:color="auto"/>
        <w:bottom w:val="none" w:sz="0" w:space="0" w:color="auto"/>
        <w:right w:val="none" w:sz="0" w:space="0" w:color="auto"/>
      </w:divBdr>
    </w:div>
    <w:div w:id="2005160640">
      <w:bodyDiv w:val="1"/>
      <w:marLeft w:val="0pt"/>
      <w:marRight w:val="0pt"/>
      <w:marTop w:val="0pt"/>
      <w:marBottom w:val="0pt"/>
      <w:divBdr>
        <w:top w:val="none" w:sz="0" w:space="0" w:color="auto"/>
        <w:left w:val="none" w:sz="0" w:space="0" w:color="auto"/>
        <w:bottom w:val="none" w:sz="0" w:space="0" w:color="auto"/>
        <w:right w:val="none" w:sz="0" w:space="0" w:color="auto"/>
      </w:divBdr>
    </w:div>
    <w:div w:id="2018656341">
      <w:bodyDiv w:val="1"/>
      <w:marLeft w:val="0pt"/>
      <w:marRight w:val="0pt"/>
      <w:marTop w:val="0pt"/>
      <w:marBottom w:val="0pt"/>
      <w:divBdr>
        <w:top w:val="none" w:sz="0" w:space="0" w:color="auto"/>
        <w:left w:val="none" w:sz="0" w:space="0" w:color="auto"/>
        <w:bottom w:val="none" w:sz="0" w:space="0" w:color="auto"/>
        <w:right w:val="none" w:sz="0" w:space="0" w:color="auto"/>
      </w:divBdr>
    </w:div>
    <w:div w:id="2018725363">
      <w:bodyDiv w:val="1"/>
      <w:marLeft w:val="0pt"/>
      <w:marRight w:val="0pt"/>
      <w:marTop w:val="0pt"/>
      <w:marBottom w:val="0pt"/>
      <w:divBdr>
        <w:top w:val="none" w:sz="0" w:space="0" w:color="auto"/>
        <w:left w:val="none" w:sz="0" w:space="0" w:color="auto"/>
        <w:bottom w:val="none" w:sz="0" w:space="0" w:color="auto"/>
        <w:right w:val="none" w:sz="0" w:space="0" w:color="auto"/>
      </w:divBdr>
    </w:div>
    <w:div w:id="20845217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6957065">
          <w:marLeft w:val="0pt"/>
          <w:marRight w:val="0pt"/>
          <w:marTop w:val="0pt"/>
          <w:marBottom w:val="0pt"/>
          <w:divBdr>
            <w:top w:val="none" w:sz="0" w:space="0" w:color="auto"/>
            <w:left w:val="none" w:sz="0" w:space="0" w:color="auto"/>
            <w:bottom w:val="none" w:sz="0" w:space="0" w:color="auto"/>
            <w:right w:val="none" w:sz="0" w:space="0" w:color="auto"/>
          </w:divBdr>
          <w:divsChild>
            <w:div w:id="12051712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00059362">
      <w:bodyDiv w:val="1"/>
      <w:marLeft w:val="0pt"/>
      <w:marRight w:val="0pt"/>
      <w:marTop w:val="0pt"/>
      <w:marBottom w:val="0pt"/>
      <w:divBdr>
        <w:top w:val="none" w:sz="0" w:space="0" w:color="auto"/>
        <w:left w:val="none" w:sz="0" w:space="0" w:color="auto"/>
        <w:bottom w:val="none" w:sz="0" w:space="0" w:color="auto"/>
        <w:right w:val="none" w:sz="0" w:space="0" w:color="auto"/>
      </w:divBdr>
    </w:div>
    <w:div w:id="211898025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codeocean.com/capsule/4989235/tree"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Kha</b:Tag>
    <b:SourceType>JournalArticle</b:SourceType>
    <b:Guid>{6090DC47-F87F-4B0B-90DA-8E7E140AB274}</b:Guid>
    <b:Title>Privacy-preserving artificial intelligence in healthcare: Techniques and applications</b:Title>
    <b:JournalName>Computers in biology and medicine</b:JournalName>
    <b:Pages>106848</b:Pages>
    <b:Author>
      <b:Author>
        <b:NameList>
          <b:Person>
            <b:Last>Khalid </b:Last>
            <b:First>N</b:First>
          </b:Person>
          <b:Person>
            <b:Last>Qayyum </b:Last>
            <b:First>A</b:First>
          </b:Person>
          <b:Person>
            <b:Last>Bilal </b:Last>
            <b:First>M</b:First>
          </b:Person>
          <b:Person>
            <b:Last>Qadir </b:Last>
            <b:First>J</b:First>
          </b:Person>
        </b:NameList>
      </b:Author>
    </b:Author>
    <b:RefOrder>1</b:RefOrder>
  </b:Source>
  <b:Source>
    <b:Tag>Fie</b:Tag>
    <b:SourceType>JournalArticle</b:SourceType>
    <b:Guid>{E9C55DDA-CDA2-4CC3-8333-0A78FF4D7EE2}</b:Guid>
    <b:Title>Exploring human–AI dynamics in enhancing workplace health and safety: A narrative review</b:Title>
    <b:JournalName>International Journal of Environmental Research and Public Health</b:JournalName>
    <b:Pages>199</b:Pages>
    <b:Author>
      <b:Author>
        <b:NameList>
          <b:Person>
            <b:Last>Fiegler-Rudol </b:Last>
            <b:First>J</b:First>
          </b:Person>
          <b:Person>
            <b:Last> Lau </b:Last>
            <b:First>K</b:First>
          </b:Person>
          <b:Person>
            <b:Last>Mroczek </b:Last>
            <b:First>A</b:First>
          </b:Person>
          <b:Person>
            <b:Last>Kasperczyk </b:Last>
            <b:First>J</b:First>
          </b:Person>
        </b:NameList>
      </b:Author>
    </b:Author>
    <b:RefOrder>2</b:RefOrder>
  </b:Source>
  <b:Source>
    <b:Tag>Sha242</b:Tag>
    <b:SourceType>JournalArticle</b:SourceType>
    <b:Guid>{A0365CC2-C2E6-4112-A957-A767F472556E}</b:Guid>
    <b:Title>Artificial intelligence in advancing occupational health and safety: an encapsulation of developments</b:Title>
    <b:JournalName>Journal of Occupational Health</b:JournalName>
    <b:Year>2024</b:Year>
    <b:Author>
      <b:Author>
        <b:NameList>
          <b:Person>
            <b:Last>Shah </b:Last>
            <b:First>IA</b:First>
          </b:Person>
          <b:Person>
            <b:Last>Mishra </b:Last>
            <b:First>S</b:First>
          </b:Person>
        </b:NameList>
      </b:Author>
    </b:Author>
    <b:RefOrder>3</b:RefOrder>
  </b:Source>
  <b:Source>
    <b:Tag>Ali22</b:Tag>
    <b:SourceType>JournalArticle</b:SourceType>
    <b:Guid>{4B793FEE-7C3C-4E7F-AEE3-32E069ACDABB}</b:Guid>
    <b:Title>Federated learning for privacy preservation in smart healthcare systems: A comprehensive survey</b:Title>
    <b:JournalName>IEEE journal of biomedical and health informatics</b:JournalName>
    <b:Year>2022</b:Year>
    <b:Pages>778-89</b:Pages>
    <b:Author>
      <b:Author>
        <b:NameList>
          <b:Person>
            <b:Last>Ali </b:Last>
            <b:First>M</b:First>
          </b:Person>
          <b:Person>
            <b:Last>Naeem </b:Last>
            <b:First>F</b:First>
          </b:Person>
          <b:Person>
            <b:Last>Tariq </b:Last>
            <b:First>M</b:First>
          </b:Person>
          <b:Person>
            <b:Last>Kaddoum </b:Last>
            <b:First>G</b:First>
          </b:Person>
        </b:NameList>
      </b:Author>
    </b:Author>
    <b:RefOrder>4</b:RefOrder>
  </b:Source>
  <b:Source>
    <b:Tag>Ian25</b:Tag>
    <b:SourceType>JournalArticle</b:SourceType>
    <b:Guid>{0DE26548-7B57-44D9-B208-AABC2E08DC4F}</b:Guid>
    <b:Title>AI and human resources in a literature-driven investigation into emerging trends</b:Title>
    <b:Year>2025</b:Year>
    <b:Author>
      <b:Author>
        <b:NameList>
          <b:Person>
            <b:Last>Iancu </b:Last>
            <b:First>C</b:First>
          </b:Person>
          <b:Person>
            <b:Last>Oprea </b:Last>
            <b:First>SV</b:First>
          </b:Person>
        </b:NameList>
      </b:Author>
    </b:Author>
    <b:RefOrder>5</b:RefOrder>
  </b:Source>
  <b:Source>
    <b:Tag>GuX23</b:Tag>
    <b:SourceType>JournalArticle</b:SourceType>
    <b:Guid>{D14A4855-C36A-476D-8E9C-9CD54339FE5A}</b:Guid>
    <b:Title>A review of privacy enhancement methods for federated learning in healthcare systems</b:Title>
    <b:JournalName>International Journal of Environmental Research and Public Health</b:JournalName>
    <b:Year>2023</b:Year>
    <b:Pages>6539</b:Pages>
    <b:Author>
      <b:Author>
        <b:NameList>
          <b:Person>
            <b:Last>Gu </b:Last>
            <b:First>X</b:First>
          </b:Person>
          <b:Person>
            <b:Last>Sabrina </b:Last>
            <b:First>F</b:First>
          </b:Person>
          <b:Person>
            <b:Last>Fan </b:Last>
            <b:First>Z</b:First>
          </b:Person>
          <b:Person>
            <b:Last>Sohail </b:Last>
            <b:First>S</b:First>
          </b:Person>
        </b:NameList>
      </b:Author>
    </b:Author>
    <b:RefOrder>6</b:RefOrder>
  </b:Source>
  <b:Source>
    <b:Tag>Abb24</b:Tag>
    <b:SourceType>JournalArticle</b:SourceType>
    <b:Guid>{4407CC65-F354-4A9A-99F2-3FC678841A1B}</b:Guid>
    <b:Title>Federated learning in smart healthcare: a comprehensive review on privacy, security, and predictive analytics with IoT integration</b:Title>
    <b:Year>2024</b:Year>
    <b:Pages>2587</b:Pages>
    <b:Volume>12</b:Volume>
    <b:Author>
      <b:Author>
        <b:NameList>
          <b:Person>
            <b:Last>Abbas </b:Last>
            <b:First>SR</b:First>
          </b:Person>
          <b:Person>
            <b:Last>Abbas </b:Last>
            <b:First>Z</b:First>
          </b:Person>
          <b:Person>
            <b:Last>Zahir </b:Last>
            <b:First>A</b:First>
          </b:Person>
          <b:Person>
            <b:Last> Lee </b:Last>
            <b:First>SW</b:First>
          </b:Person>
        </b:NameList>
      </b:Author>
    </b:Author>
    <b:RefOrder>7</b:RefOrder>
  </b:Source>
  <b:Source>
    <b:Tag>Pat22</b:Tag>
    <b:SourceType>JournalArticle</b:SourceType>
    <b:Guid>{EAE1716F-151F-48A0-9872-6DAD1688AF99}</b:Guid>
    <b:Title>Trends in workplace wearable technologies and connected‐worker solutions for next‐generation occupational safety, health, and productivity</b:Title>
    <b:JournalName>Advanced Intelligent Systems</b:JournalName>
    <b:Year>2022</b:Year>
    <b:Pages>2100099</b:Pages>
    <b:Author>
      <b:Author>
        <b:NameList>
          <b:Person>
            <b:Last>Patel </b:Last>
            <b:First>V</b:First>
          </b:Person>
          <b:Person>
            <b:Last>Chesmore </b:Last>
            <b:First>A</b:First>
          </b:Person>
          <b:Person>
            <b:Last>Legner </b:Last>
            <b:First>CM</b:First>
          </b:Person>
          <b:Person>
            <b:Last>Pandey </b:Last>
            <b:First>S</b:First>
          </b:Person>
        </b:NameList>
      </b:Author>
    </b:Author>
    <b:RefOrder>8</b:RefOrder>
  </b:Source>
  <b:Source>
    <b:Tag>Pes25</b:Tag>
    <b:SourceType>JournalArticle</b:SourceType>
    <b:Guid>{D94859C0-4A54-43FB-BA88-F61F0B0BE219}</b:Guid>
    <b:Title>Designing and implementing SMILE: An AI-driven platform for enhancing clinical decision-making in mental health and neurodivergence management</b:Title>
    <b:JournalName>Computational and Structural Biotechnology Journal</b:JournalName>
    <b:Year>2025</b:Year>
    <b:Pages>785-803</b:Pages>
    <b:Author>
      <b:Author>
        <b:NameList>
          <b:Person>
            <b:Last>Pesqueira </b:Last>
            <b:First>A</b:First>
          </b:Person>
          <b:Person>
            <b:Last> Sousa </b:Last>
            <b:First>MJ</b:First>
          </b:Person>
          <b:Person>
            <b:Last>Pereira </b:Last>
            <b:First>R</b:First>
          </b:Person>
          <b:Person>
            <b:Last> Schwendinger </b:Last>
            <b:First>M</b:First>
          </b:Person>
        </b:NameList>
      </b:Author>
    </b:Author>
    <b:RefOrder>9</b:RefOrder>
  </b:Source>
  <b:Source>
    <b:Tag>Ian251</b:Tag>
    <b:SourceType>JournalArticle</b:SourceType>
    <b:Guid>{10331BA4-2BA1-4023-9E4C-1D96951511BB}</b:Guid>
    <b:Title>AI and human resources in a literature-driven investigation into emerging trends</b:Title>
    <b:Year>2025</b:Year>
    <b:Pages>30-8</b:Pages>
    <b:Volume>4</b:Volume>
    <b:Author>
      <b:Author>
        <b:NameList>
          <b:Person>
            <b:Last>Iancu </b:Last>
            <b:First>C</b:First>
          </b:Person>
          <b:Person>
            <b:Last>Oprea </b:Last>
            <b:First>SV</b:First>
          </b:Person>
        </b:NameList>
      </b:Author>
    </b:Author>
    <b:RefOrder>10</b:RefOrder>
  </b:Source>
  <b:Source>
    <b:Tag>Hig25</b:Tag>
    <b:SourceType>JournalArticle</b:SourceType>
    <b:Guid>{0504E1B5-92B7-4F4E-AE24-9E084AD29D1E}</b:Guid>
    <b:Title>Integrating artificial intelligence (AI) with workforce solutions for sustainable care: A follow up to artificial intelligence and machine learning (ML) based decision support systems in mental health</b:Title>
    <b:JournalName>International journal of mental health nursing</b:JournalName>
    <b:Year>2025</b:Year>
    <b:Pages>e70019</b:Pages>
    <b:Volume>3</b:Volume>
    <b:Issue>2</b:Issue>
    <b:Author>
      <b:Author>
        <b:NameList>
          <b:Person>
            <b:Last>Higgins </b:Last>
            <b:First>O</b:First>
          </b:Person>
          <b:Person>
            <b:Last>Wilson </b:Last>
            <b:First>RL</b:First>
          </b:Person>
        </b:NameList>
      </b:Author>
    </b:Author>
    <b:RefOrder>11</b:RefOrder>
  </b:Source>
  <b:Source>
    <b:Tag>Kol24</b:Tag>
    <b:SourceType>JournalArticle</b:SourceType>
    <b:Guid>{50F36B90-B57B-4657-AF45-D1F9CF2025E1}</b:Guid>
    <b:Title>Systematic reviews of machine learning in healthcare: a literature review</b:Title>
    <b:JournalName>Expert Review of Pharmacoeconomics &amp; Outcomes Research</b:JournalName>
    <b:Year>2024</b:Year>
    <b:Pages>63-115</b:Pages>
    <b:Volume>4</b:Volume>
    <b:Issue>1</b:Issue>
    <b:Author>
      <b:Author>
        <b:NameList>
          <b:Person>
            <b:Last>Kolasa </b:Last>
            <b:First>K</b:First>
          </b:Person>
          <b:Person>
            <b:Last>Admassu </b:Last>
            <b:First>B</b:First>
          </b:Person>
          <b:Person>
            <b:Last>Hołownia-Voloskova </b:Last>
            <b:First>M</b:First>
          </b:Person>
          <b:Person>
            <b:Last>Kędzior </b:Last>
            <b:First>KJ</b:First>
          </b:Person>
          <b:Person>
            <b:Last>Poirrier </b:Last>
            <b:First>JE</b:First>
          </b:Person>
          <b:Person>
            <b:Last>Perni </b:Last>
            <b:First>S</b:First>
          </b:Person>
        </b:NameList>
      </b:Author>
    </b:Author>
    <b:RefOrder>14</b:RefOrder>
  </b:Source>
  <b:Source>
    <b:Tag>Ami24</b:Tag>
    <b:SourceType>JournalArticle</b:SourceType>
    <b:Guid>{BFB21D1C-3E00-40F8-B0F5-C5F9E3C65D7E}</b:Guid>
    <b:Title>Opportunities and challenges of artificial intelligence and distributed systems to improve the quality of healthcare service</b:Title>
    <b:JournalName>Artificial intelligence in medicine</b:JournalName>
    <b:Year>2024</b:Year>
    <b:Pages>102779</b:Pages>
    <b:Author>
      <b:Author>
        <b:NameList>
          <b:Person>
            <b:Last>Aminizadeh </b:Last>
            <b:First>S</b:First>
          </b:Person>
          <b:Person>
            <b:Last>Heidari </b:Last>
            <b:First>A</b:First>
          </b:Person>
          <b:Person>
            <b:Last>Dehghan </b:Last>
            <b:First>M</b:First>
          </b:Person>
          <b:Person>
            <b:Last>Toumaj </b:Last>
            <b:First>S</b:First>
          </b:Person>
          <b:Person>
            <b:Last>Rezaei </b:Last>
            <b:First>M</b:First>
          </b:Person>
          <b:Person>
            <b:Last>Navimipour </b:Last>
            <b:First>NJ</b:First>
          </b:Person>
          <b:Person>
            <b:Last>Stroppa </b:Last>
            <b:First>F</b:First>
          </b:Person>
          <b:Person>
            <b:Last>Unal </b:Last>
            <b:First>M</b:First>
          </b:Person>
        </b:NameList>
      </b:Author>
    </b:Author>
    <b:RefOrder>15</b:RefOrder>
  </b:Source>
  <b:Source>
    <b:Tag>Sec21</b:Tag>
    <b:SourceType>JournalArticle</b:SourceType>
    <b:Guid>{9E95CB43-6CC2-47B2-89C8-72F156DA1377}</b:Guid>
    <b:Title>The role of artificial intelligence in healthcare: a structured literature review</b:Title>
    <b:JournalName>BMC medical informatics and decision making</b:JournalName>
    <b:Year>2021</b:Year>
    <b:Pages>125</b:Pages>
    <b:Author>
      <b:Author>
        <b:NameList>
          <b:Person>
            <b:Last>Secinaro </b:Last>
            <b:First>S</b:First>
          </b:Person>
          <b:Person>
            <b:Last>Calandra </b:Last>
            <b:First>D</b:First>
          </b:Person>
          <b:Person>
            <b:Last>Secinaro </b:Last>
            <b:First>A</b:First>
          </b:Person>
          <b:Person>
            <b:Last>Muthurangu </b:Last>
            <b:First>V</b:First>
          </b:Person>
          <b:Person>
            <b:Last>Biancone </b:Last>
            <b:First>P</b:First>
          </b:Person>
        </b:NameList>
      </b:Author>
    </b:Author>
    <b:RefOrder>12</b:RefOrder>
  </b:Source>
  <b:Source>
    <b:Tag>Alo23</b:Tag>
    <b:SourceType>JournalArticle</b:SourceType>
    <b:Guid>{6E89082E-6863-48A4-A65B-5EBFFE59F40B}</b:Guid>
    <b:Title>Revolutionizing healthcare: the role of artificial intelligence in clinical practice</b:Title>
    <b:JournalName>BMC medical education</b:JournalName>
    <b:Year>2023</b:Year>
    <b:Pages>689</b:Pages>
    <b:Author>
      <b:Author>
        <b:NameList>
          <b:Person>
            <b:Last>Alowais </b:Last>
            <b:First>SA</b:First>
          </b:Person>
          <b:Person>
            <b:Last>Alghamdi </b:Last>
            <b:First>SS</b:First>
          </b:Person>
          <b:Person>
            <b:Last>Alsuhebany </b:Last>
            <b:First>N</b:First>
          </b:Person>
          <b:Person>
            <b:Last>Alqahtani </b:Last>
            <b:First>T</b:First>
          </b:Person>
          <b:Person>
            <b:Last>Alshaya </b:Last>
            <b:First>AI</b:First>
          </b:Person>
          <b:Person>
            <b:Last>Almohareb </b:Last>
            <b:First>SN</b:First>
          </b:Person>
          <b:Person>
            <b:Last>Aldairem </b:Last>
            <b:First>A</b:First>
          </b:Person>
          <b:Person>
            <b:Last> Alrashed </b:Last>
            <b:First>M</b:First>
          </b:Person>
          <b:Person>
            <b:Last> Bin Saleh </b:Last>
            <b:First>K</b:First>
          </b:Person>
          <b:Person>
            <b:Last>Badreldin </b:Last>
            <b:First>HA</b:First>
          </b:Person>
          <b:Person>
            <b:Last>Al Yami </b:Last>
            <b:First>MS</b:First>
          </b:Person>
        </b:NameList>
      </b:Author>
    </b:Author>
    <b:RefOrder>13</b:RefOrder>
  </b:Source>
  <b:Source>
    <b:Tag>Hig23</b:Tag>
    <b:SourceType>JournalArticle</b:SourceType>
    <b:Guid>{C6B7FA99-9909-453B-8E63-EF2EFA544A7D}</b:Guid>
    <b:Title>Artificial intelligence (AI) and machine learning (ML) based decision support systems in mental health: An integrative review</b:Title>
    <b:JournalName>International Journal of Mental Health Nursing</b:JournalName>
    <b:Year>2023</b:Year>
    <b:Pages>966-78</b:Pages>
    <b:Volume>6</b:Volume>
    <b:Issue>2</b:Issue>
    <b:Author>
      <b:Author>
        <b:NameList>
          <b:Person>
            <b:Last>Higgins </b:Last>
            <b:First>O</b:First>
          </b:Person>
          <b:Person>
            <b:Last>Short </b:Last>
            <b:First>BL</b:First>
          </b:Person>
          <b:Person>
            <b:Last>Chalup </b:Last>
            <b:First>SK</b:First>
          </b:Person>
          <b:Person>
            <b:Last> Wilson </b:Last>
            <b:First>RL</b:First>
          </b:Person>
        </b:NameList>
      </b:Author>
    </b:Author>
    <b:RefOrder>16</b:RefOrder>
  </b:Source>
  <b:Source>
    <b:Tag>NiY25</b:Tag>
    <b:SourceType>JournalArticle</b:SourceType>
    <b:Guid>{B74C80CA-5C25-44D8-8574-07E885BF34D3}</b:Guid>
    <b:Title>A scoping review of AI-driven digital interventions in mental health care: mapping applications across screening, support, monitoring, prevention, and clinical education</b:Title>
    <b:Year>2025</b:Year>
    <b:Pages>1205</b:Pages>
    <b:Volume>13</b:Volume>
    <b:Author>
      <b:Author>
        <b:NameList>
          <b:Person>
            <b:Last>Ni </b:Last>
            <b:First>Y</b:First>
          </b:Person>
          <b:Person>
            <b:Last>Jia </b:Last>
            <b:First>F</b:First>
          </b:Person>
        </b:NameList>
      </b:Author>
    </b:Author>
    <b:RefOrder>17</b:RefOrder>
  </b:Source>
  <b:Source>
    <b:Tag>Kam24</b:Tag>
    <b:SourceType>JournalArticle</b:SourceType>
    <b:Guid>{0CD2F9B0-3B75-4900-B831-AE1FE4C649B6}</b:Guid>
    <b:Title>Implementing AI in hospitals to achieve a learning health system: systematic review of current enablers and barriers</b:Title>
    <b:JournalName>Journal of medical Internet research</b:JournalName>
    <b:Year>2024</b:Year>
    <b:Pages>e49655</b:Pages>
    <b:Author>
      <b:Author>
        <b:NameList>
          <b:Person>
            <b:Last>Kamel Rahimi </b:Last>
            <b:First>A</b:First>
          </b:Person>
          <b:Person>
            <b:Last>Pienaar </b:Last>
            <b:First>O</b:First>
          </b:Person>
          <b:Person>
            <b:Last>Ghadimi </b:Last>
            <b:First>M</b:First>
          </b:Person>
          <b:Person>
            <b:Last>Canfell </b:Last>
            <b:First>OJ</b:First>
          </b:Person>
          <b:Person>
            <b:Last>Pole </b:Last>
            <b:First>JD</b:First>
          </b:Person>
          <b:Person>
            <b:Last>Shrapnel </b:Last>
            <b:First>S</b:First>
          </b:Person>
          <b:Person>
            <b:Last>van der Vegt </b:Last>
            <b:First>AH</b:First>
          </b:Person>
          <b:Person>
            <b:Last>Sullivan </b:Last>
            <b:First>C</b:First>
          </b:Person>
        </b:NameList>
      </b:Author>
    </b:Author>
    <b:RefOrder>18</b:RefOrder>
  </b:Source>
  <b:Source>
    <b:Tag>Asa21</b:Tag>
    <b:SourceType>JournalArticle</b:SourceType>
    <b:Guid>{981E61C5-FC13-450E-A159-0A9352002EE7}</b:Guid>
    <b:Title>Research trends in artificial intelligence applications in human factors health care: mapping review</b:Title>
    <b:JournalName>JMIR human factors</b:JournalName>
    <b:Year>2021</b:Year>
    <b:Pages>e28236</b:Pages>
    <b:Author>
      <b:Author>
        <b:NameList>
          <b:Person>
            <b:Last>Asan </b:Last>
            <b:First>O</b:First>
          </b:Person>
          <b:Person>
            <b:Last>Choudhury </b:Last>
            <b:First>A</b:First>
          </b:Person>
        </b:NameList>
      </b:Author>
    </b:Author>
    <b:RefOrder>19</b:RefOrder>
  </b:Source>
  <b:Source>
    <b:Tag>VoV23</b:Tag>
    <b:SourceType>JournalArticle</b:SourceType>
    <b:Guid>{37D78667-DB61-4548-BAD2-58E4749876AD}</b:Guid>
    <b:Title>Multi-stakeholder preferences for the use of artificial intelligence in healthcare: A systematic review and thematic analysis</b:Title>
    <b:JournalName>Social Science &amp; Medicine</b:JournalName>
    <b:Year>2023</b:Year>
    <b:Pages>116357</b:Pages>
    <b:Author>
      <b:Author>
        <b:NameList>
          <b:Person>
            <b:Last>Vo </b:Last>
            <b:First>V</b:First>
          </b:Person>
          <b:Person>
            <b:Last>Chen </b:Last>
            <b:First>G</b:First>
          </b:Person>
          <b:Person>
            <b:Last>Aquino </b:Last>
            <b:First>YS</b:First>
          </b:Person>
          <b:Person>
            <b:Last>Carter </b:Last>
            <b:First>SM</b:First>
          </b:Person>
          <b:Person>
            <b:Last>Do </b:Last>
            <b:First>QN</b:First>
          </b:Person>
          <b:Person>
            <b:Last>Woode </b:Last>
            <b:First>ME</b:First>
          </b:Person>
        </b:NameList>
      </b:Author>
    </b:Author>
    <b:RefOrder>20</b:RefOrder>
  </b:Source>
  <b:Source>
    <b:Tag>Men24</b:Tag>
    <b:SourceType>JournalArticle</b:SourceType>
    <b:Guid>{3488BD4C-DB34-430C-9262-172F131D5831}</b:Guid>
    <b:Title>Ethical and regulatory challenges of AI technologies in healthcare: A narrative review</b:Title>
    <b:Year>2024</b:Year>
    <b:Volume>4</b:Volume>
    <b:Issue>1</b:Issue>
    <b:Author>
      <b:Author>
        <b:NameList>
          <b:Person>
            <b:Last>Mennella </b:Last>
            <b:First>C</b:First>
          </b:Person>
          <b:Person>
            <b:Last>Maniscalco </b:Last>
            <b:First>U</b:First>
          </b:Person>
          <b:Person>
            <b:Last>De Pietro </b:Last>
            <b:First>G</b:First>
          </b:Person>
          <b:Person>
            <b:Last>Esposito </b:Last>
            <b:First>M</b:First>
          </b:Person>
        </b:NameList>
      </b:Author>
    </b:Author>
    <b:RefOrder>21</b:RefOrder>
  </b:Source>
  <b:Source>
    <b:Tag>Nai24</b:Tag>
    <b:SourceType>JournalArticle</b:SourceType>
    <b:Guid>{E8FC96B4-600B-4798-BEDA-AB6E8FD5FF74}</b:Guid>
    <b:Title>A comprehensive overview of barriers and strategies for AI implementation in healthcare: Mixed-method design</b:Title>
    <b:Year>2024</b:Year>
    <b:Pages>e0305949</b:Pages>
    <b:Volume>6</b:Volume>
    <b:Issue>2</b:Issue>
    <b:Author>
      <b:Author>
        <b:NameList>
          <b:Person>
            <b:Last>Nair </b:Last>
            <b:First>M</b:First>
          </b:Person>
          <b:Person>
            <b:Last>Svedberg </b:Last>
            <b:First>P</b:First>
          </b:Person>
          <b:Person>
            <b:Last> Larsson </b:Last>
            <b:First>I</b:First>
          </b:Person>
          <b:Person>
            <b:Last>Nygren </b:Last>
            <b:First>JM</b:First>
          </b:Person>
        </b:NameList>
      </b:Author>
    </b:Author>
    <b:RefOrder>22</b:RefOrder>
  </b:Source>
  <b:Source>
    <b:Tag>Pri23</b:Tag>
    <b:SourceType>JournalArticle</b:SourceType>
    <b:Guid>{44D95615-87F5-49AF-90E0-1B0ED8879DD4}</b:Guid>
    <b:Title>AI-Augmented HRM: Literature review and a proposed multilevel framework for future research</b:Title>
    <b:JournalName>Technological forecasting and social change</b:JournalName>
    <b:Year>2023</b:Year>
    <b:Pages>122645</b:Pages>
    <b:Author>
      <b:Author>
        <b:NameList>
          <b:Person>
            <b:Last>Prikshat </b:Last>
            <b:First>V</b:First>
          </b:Person>
          <b:Person>
            <b:Last>Islam </b:Last>
            <b:First>M</b:First>
          </b:Person>
          <b:Person>
            <b:Last> Patel </b:Last>
            <b:First>P</b:First>
          </b:Person>
          <b:Person>
            <b:Last>Malik </b:Last>
            <b:First>A</b:First>
          </b:Person>
          <b:Person>
            <b:Last>Budhwar </b:Last>
            <b:First>P</b:First>
          </b:Person>
          <b:Person>
            <b:Last>Gupta </b:Last>
            <b:First>S</b:First>
          </b:Person>
        </b:NameList>
      </b:Author>
    </b:Author>
    <b:RefOrder>23</b:RefOrder>
  </b:Source>
  <b:Source>
    <b:Tag>Dav25</b:Tag>
    <b:SourceType>JournalArticle</b:SourceType>
    <b:Guid>{966B698B-A2AD-4BCF-92DA-CBCFC8D9DDDE}</b:Guid>
    <b:Title>Enhancing healthcare worker mental health via artificial intelligence-driven work process improvements: a scoping review</b:Title>
    <b:JournalName>International Journal of Medical Informatics</b:JournalName>
    <b:Year>2025</b:Year>
    <b:Pages>106122</b:Pages>
    <b:Author>
      <b:Author>
        <b:NameList>
          <b:Person>
            <b:Last>Dave </b:Last>
            <b:First>B</b:First>
          </b:Person>
          <b:Person>
            <b:Last>Martin </b:Last>
            <b:First>P</b:First>
          </b:Person>
          <b:Person>
            <b:Last>David </b:Last>
            <b:First>SS</b:First>
          </b:Person>
          <b:Person>
            <b:Last> Kumar </b:Last>
            <b:First>S</b:First>
          </b:Person>
          <b:Person>
            <b:Last>Chakraborty </b:Last>
            <b:First>T</b:First>
          </b:Person>
        </b:NameList>
      </b:Author>
    </b:Author>
    <b:RefOrder>24</b:RefOrder>
  </b:Source>
</b:Sources>
</file>

<file path=customXml/itemProps1.xml><?xml version="1.0" encoding="utf-8"?>
<ds:datastoreItem xmlns:ds="http://purl.oclc.org/ooxml/officeDocument/customXml" ds:itemID="{8CB5ED50-8C3C-4FA2-B701-3446F9EE29A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1872</TotalTime>
  <Pages>7</Pages>
  <Words>4732</Words>
  <Characters>26978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Lalithya jayasekara</cp:lastModifiedBy>
  <cp:revision>154</cp:revision>
  <dcterms:created xsi:type="dcterms:W3CDTF">2026-04-05T12:17:00Z</dcterms:created>
  <dcterms:modified xsi:type="dcterms:W3CDTF">2026-04-10T08:59:00Z</dcterms:modified>
</cp:coreProperties>
</file>