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t>
      </w:r>
    </w:p>
    <w:p>
      <w:pPr>
        <w:spacing w:after="120" w:line="360"/>
        <w:jc w:val="center"/>
      </w:pPr>
      <w:r>
        <w:rPr>
          <w:rFonts w:ascii="Times New Roman" w:cs="Times New Roman" w:eastAsia="Times New Roman" w:hAnsi="Times New Roman"/>
          <w:b/>
          <w:bCs/>
          <w:sz w:val="32"/>
          <w:szCs w:val="32"/>
        </w:rPr>
        <w:t xml:space="preserve">PROJECT REPORT OF CO-OP</w:t>
      </w:r>
    </w:p>
    <w:p>
      <w:pPr>
        <w:spacing w:after="120" w:line="360"/>
        <w:jc w:val="center"/>
      </w:pPr>
      <w:r>
        <w:rPr>
          <w:rFonts w:ascii="Times New Roman" w:cs="Times New Roman" w:eastAsia="Times New Roman" w:hAnsi="Times New Roman"/>
          <w:b/>
          <w:bCs/>
          <w:sz w:val="28"/>
          <w:szCs w:val="28"/>
        </w:rPr>
        <w:t xml:space="preserve">Project at Industry (Module-2)</w:t>
      </w:r>
    </w:p>
    <w:p>
      <w:r>
        <w:rPr>
          <w:rFonts w:ascii="Times New Roman" w:cs="Times New Roman" w:eastAsia="Times New Roman" w:hAnsi="Times New Roman"/>
          <w:sz w:val="24"/>
          <w:szCs w:val="24"/>
        </w:rPr>
        <w:t xml:space="preserve"> </w:t>
      </w:r>
    </w:p>
    <w:p>
      <w:pPr>
        <w:spacing w:after="120" w:line="360"/>
        <w:jc w:val="center"/>
      </w:pPr>
      <w:r>
        <w:rPr>
          <w:rFonts w:ascii="Times New Roman" w:cs="Times New Roman" w:eastAsia="Times New Roman" w:hAnsi="Times New Roman"/>
          <w:b/>
          <w:bCs/>
          <w:sz w:val="28"/>
          <w:szCs w:val="28"/>
        </w:rPr>
        <w:t xml:space="preserve">ON</w:t>
      </w:r>
    </w:p>
    <w:p>
      <w:r>
        <w:rPr>
          <w:rFonts w:ascii="Times New Roman" w:cs="Times New Roman" w:eastAsia="Times New Roman" w:hAnsi="Times New Roman"/>
          <w:sz w:val="24"/>
          <w:szCs w:val="24"/>
        </w:rPr>
        <w:t xml:space="preserve"> </w:t>
      </w:r>
    </w:p>
    <w:p>
      <w:pPr>
        <w:spacing w:after="120" w:line="360"/>
        <w:jc w:val="center"/>
      </w:pPr>
      <w:r>
        <w:rPr>
          <w:rFonts w:ascii="Times New Roman" w:cs="Times New Roman" w:eastAsia="Times New Roman" w:hAnsi="Times New Roman"/>
          <w:b/>
          <w:bCs/>
          <w:sz w:val="32"/>
          <w:szCs w:val="32"/>
        </w:rPr>
        <w:t xml:space="preserve">High-Throughput Apache Spark Structured Streaming Optimization in Resource-Constrained Edge and Cloud Environments</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20" w:line="360"/>
        <w:jc w:val="center"/>
      </w:pPr>
      <w:r>
        <w:rPr>
          <w:rFonts w:ascii="Times New Roman" w:cs="Times New Roman" w:eastAsia="Times New Roman" w:hAnsi="Times New Roman"/>
          <w:b w:val="false"/>
          <w:bCs w:val="false"/>
          <w:sz w:val="24"/>
          <w:szCs w:val="24"/>
        </w:rPr>
        <w:t xml:space="preserve">submitted in partial fulfilment of the requirements for the award of degree of</w:t>
      </w:r>
    </w:p>
    <w:p>
      <w:r>
        <w:rPr>
          <w:rFonts w:ascii="Times New Roman" w:cs="Times New Roman" w:eastAsia="Times New Roman" w:hAnsi="Times New Roman"/>
          <w:sz w:val="24"/>
          <w:szCs w:val="24"/>
        </w:rPr>
        <w:t xml:space="preserve"> </w:t>
      </w:r>
    </w:p>
    <w:p>
      <w:pPr>
        <w:spacing w:after="120" w:line="360"/>
        <w:jc w:val="center"/>
      </w:pPr>
      <w:r>
        <w:rPr>
          <w:rFonts w:ascii="Times New Roman" w:cs="Times New Roman" w:eastAsia="Times New Roman" w:hAnsi="Times New Roman"/>
          <w:b/>
          <w:bCs/>
          <w:sz w:val="30"/>
          <w:szCs w:val="30"/>
        </w:rPr>
        <w:t xml:space="preserve">BACHELOR OF ENGINEERING</w:t>
      </w:r>
    </w:p>
    <w:p>
      <w:pPr>
        <w:spacing w:after="120" w:line="360"/>
        <w:jc w:val="center"/>
      </w:pPr>
      <w:r>
        <w:rPr>
          <w:rFonts w:ascii="Times New Roman" w:cs="Times New Roman" w:eastAsia="Times New Roman" w:hAnsi="Times New Roman"/>
          <w:b w:val="false"/>
          <w:bCs w:val="false"/>
          <w:sz w:val="24"/>
          <w:szCs w:val="24"/>
        </w:rPr>
        <w:t xml:space="preserve">In</w:t>
      </w:r>
    </w:p>
    <w:p>
      <w:pPr>
        <w:spacing w:after="120" w:line="360"/>
        <w:jc w:val="center"/>
      </w:pPr>
      <w:r>
        <w:rPr>
          <w:rFonts w:ascii="Times New Roman" w:cs="Times New Roman" w:eastAsia="Times New Roman" w:hAnsi="Times New Roman"/>
          <w:b/>
          <w:bCs/>
          <w:sz w:val="28"/>
          <w:szCs w:val="28"/>
        </w:rPr>
        <w:t xml:space="preserve">COMPUTER SCIENCE AND ENGINEERING</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40"/>
              <w:left w:type="dxa" w:w="40"/>
              <w:bottom w:type="dxa" w:w="40"/>
              <w:right w:type="dxa" w:w="40"/>
            </w:tcMar>
          </w:tcPr>
          <w:p>
            <w:pPr>
              <w:jc w:val="left"/>
            </w:pPr>
            <w:r>
              <w:rPr>
                <w:rFonts w:ascii="Times New Roman" w:cs="Times New Roman" w:eastAsia="Times New Roman" w:hAnsi="Times New Roman"/>
                <w:b/>
                <w:bCs/>
                <w:sz w:val="26"/>
                <w:szCs w:val="26"/>
              </w:rPr>
              <w:t xml:space="preserve">Submitted by:</w:t>
            </w:r>
          </w:p>
          <w:p>
            <w:pPr>
              <w:spacing w:before="120"/>
              <w:jc w:val="left"/>
            </w:pPr>
            <w:r>
              <w:rPr>
                <w:rFonts w:ascii="Times New Roman" w:cs="Times New Roman" w:eastAsia="Times New Roman" w:hAnsi="Times New Roman"/>
                <w:b/>
                <w:bCs/>
                <w:sz w:val="24"/>
                <w:szCs w:val="24"/>
              </w:rPr>
              <w:t xml:space="preserve">Lalit Jindal</w:t>
            </w:r>
          </w:p>
          <w:p>
            <w:pPr>
              <w:jc w:val="left"/>
            </w:pPr>
            <w:r>
              <w:rPr>
                <w:rFonts w:ascii="Times New Roman" w:cs="Times New Roman" w:eastAsia="Times New Roman" w:hAnsi="Times New Roman"/>
                <w:sz w:val="24"/>
                <w:szCs w:val="24"/>
              </w:rPr>
              <w:t xml:space="preserve">Roll No: 2210991847</w:t>
            </w:r>
          </w:p>
          <w:p>
            <w:pPr>
              <w:spacing w:before="120"/>
              <w:jc w:val="left"/>
            </w:pPr>
            <w:r>
              <w:rPr>
                <w:rFonts w:ascii="Times New Roman" w:cs="Times New Roman" w:eastAsia="Times New Roman" w:hAnsi="Times New Roman"/>
                <w:b/>
                <w:bCs/>
                <w:sz w:val="24"/>
                <w:szCs w:val="24"/>
              </w:rPr>
              <w:t xml:space="preserve">Monu Kumar</w:t>
            </w:r>
          </w:p>
          <w:p>
            <w:pPr>
              <w:jc w:val="left"/>
            </w:pPr>
            <w:r>
              <w:rPr>
                <w:rFonts w:ascii="Times New Roman" w:cs="Times New Roman" w:eastAsia="Times New Roman" w:hAnsi="Times New Roman"/>
                <w:sz w:val="24"/>
                <w:szCs w:val="24"/>
              </w:rPr>
              <w:t xml:space="preserve">Roll No: 2210990583</w:t>
            </w:r>
          </w:p>
        </w:tc>
        <w:tc>
          <w:tcPr>
            <w:tcW w:type="dxa" w:w="4680"/>
            <w:tcBorders>
              <w:top w:val="none"/>
              <w:left w:val="none"/>
              <w:bottom w:val="none"/>
              <w:right w:val="none"/>
            </w:tcBorders>
            <w:tcMar>
              <w:top w:type="dxa" w:w="40"/>
              <w:left w:type="dxa" w:w="40"/>
              <w:bottom w:type="dxa" w:w="40"/>
              <w:right w:type="dxa" w:w="40"/>
            </w:tcMar>
          </w:tcPr>
          <w:p>
            <w:pPr>
              <w:jc w:val="left"/>
            </w:pPr>
            <w:r>
              <w:rPr>
                <w:rFonts w:ascii="Times New Roman" w:cs="Times New Roman" w:eastAsia="Times New Roman" w:hAnsi="Times New Roman"/>
                <w:b/>
                <w:bCs/>
                <w:sz w:val="26"/>
                <w:szCs w:val="26"/>
              </w:rPr>
              <w:t xml:space="preserve">Supervised By:</w:t>
            </w:r>
          </w:p>
          <w:p>
            <w:pPr>
              <w:spacing w:before="120"/>
              <w:jc w:val="left"/>
            </w:pPr>
            <w:r>
              <w:rPr>
                <w:rFonts w:ascii="Times New Roman" w:cs="Times New Roman" w:eastAsia="Times New Roman" w:hAnsi="Times New Roman"/>
                <w:b/>
                <w:bCs/>
                <w:sz w:val="24"/>
                <w:szCs w:val="24"/>
              </w:rPr>
              <w:t xml:space="preserve">Dr. Swati Goel</w:t>
            </w:r>
          </w:p>
          <w:p>
            <w:pPr>
              <w:jc w:val="left"/>
            </w:pPr>
            <w:r>
              <w:rPr>
                <w:rFonts w:ascii="Times New Roman" w:cs="Times New Roman" w:eastAsia="Times New Roman" w:hAnsi="Times New Roman"/>
                <w:sz w:val="24"/>
                <w:szCs w:val="24"/>
              </w:rPr>
              <w:t xml:space="preserve">Assistant Professor</w:t>
            </w:r>
          </w:p>
          <w:p>
            <w:pPr>
              <w:jc w:val="left"/>
            </w:pPr>
            <w:r>
              <w:rPr>
                <w:rFonts w:ascii="Times New Roman" w:cs="Times New Roman" w:eastAsia="Times New Roman" w:hAnsi="Times New Roman"/>
                <w:sz w:val="24"/>
                <w:szCs w:val="24"/>
              </w:rPr>
              <w:t xml:space="preserve">Chitkara University, Punjab</w:t>
            </w:r>
          </w:p>
        </w:tc>
      </w:tr>
    </w:tbl>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20" w:line="360"/>
        <w:jc w:val="center"/>
      </w:pPr>
      <w:r>
        <w:rPr>
          <w:rFonts w:ascii="Times New Roman" w:cs="Times New Roman" w:eastAsia="Times New Roman" w:hAnsi="Times New Roman"/>
          <w:b/>
          <w:bCs/>
          <w:sz w:val="28"/>
          <w:szCs w:val="28"/>
        </w:rPr>
        <w:t xml:space="preserve">DEPARTMENT OF COMPUTER SCIENCE AND ENGINEERING</w:t>
      </w:r>
    </w:p>
    <w:p>
      <w:pPr>
        <w:spacing w:after="120" w:line="360"/>
        <w:jc w:val="center"/>
      </w:pPr>
      <w:r>
        <w:rPr>
          <w:rFonts w:ascii="Times New Roman" w:cs="Times New Roman" w:eastAsia="Times New Roman" w:hAnsi="Times New Roman"/>
          <w:b/>
          <w:bCs/>
          <w:sz w:val="26"/>
          <w:szCs w:val="26"/>
        </w:rPr>
        <w:t xml:space="preserve">CHITKARA UNIVERSITY INSTITUTE OF ENGINEERING AND TECHNOLOGY</w:t>
      </w:r>
    </w:p>
    <w:p>
      <w:pPr>
        <w:spacing w:after="120" w:line="360"/>
        <w:jc w:val="center"/>
      </w:pPr>
      <w:r>
        <w:rPr>
          <w:rFonts w:ascii="Times New Roman" w:cs="Times New Roman" w:eastAsia="Times New Roman" w:hAnsi="Times New Roman"/>
          <w:b/>
          <w:bCs/>
          <w:sz w:val="26"/>
          <w:szCs w:val="26"/>
        </w:rPr>
        <w:t xml:space="preserve">CHITKARA UNIVERSITY, PUNJAB, INDIA</w:t>
      </w:r>
    </w:p>
    <w:p>
      <w:r>
        <w:br w:type="page"/>
      </w:r>
    </w:p>
    <w:p>
      <w:pPr>
        <w:spacing w:after="120" w:line="360"/>
        <w:jc w:val="center"/>
      </w:pPr>
      <w:r>
        <w:rPr>
          <w:rFonts w:ascii="Times New Roman" w:cs="Times New Roman" w:eastAsia="Times New Roman" w:hAnsi="Times New Roman"/>
          <w:b/>
          <w:bCs/>
          <w:sz w:val="32"/>
          <w:szCs w:val="32"/>
        </w:rPr>
        <w:t xml:space="preserve">DECLARATION</w:t>
      </w:r>
    </w:p>
    <w:p>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We hereby certify that the work which is being presented in the project report entitled </w:t>
      </w:r>
      <w:r>
        <w:rPr>
          <w:rFonts w:ascii="Times New Roman" w:cs="Times New Roman" w:eastAsia="Times New Roman" w:hAnsi="Times New Roman"/>
          <w:b/>
          <w:bCs/>
          <w:sz w:val="24"/>
          <w:szCs w:val="24"/>
        </w:rPr>
        <w:t xml:space="preserve">“High-Throughput Apache Spark Structured Streaming Optimization in Resource-Constrained Edge and Cloud Environments”</w:t>
      </w:r>
      <w:r>
        <w:rPr>
          <w:rFonts w:ascii="Times New Roman" w:cs="Times New Roman" w:eastAsia="Times New Roman" w:hAnsi="Times New Roman"/>
          <w:sz w:val="24"/>
          <w:szCs w:val="24"/>
        </w:rPr>
        <w:t xml:space="preserve">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w:t>
      </w:r>
      <w:r>
        <w:rPr>
          <w:rFonts w:ascii="Times New Roman" w:cs="Times New Roman" w:eastAsia="Times New Roman" w:hAnsi="Times New Roman"/>
          <w:b/>
          <w:bCs/>
          <w:sz w:val="24"/>
          <w:szCs w:val="24"/>
        </w:rPr>
        <w:t xml:space="preserve">Dr. Swati Goel</w:t>
      </w:r>
      <w:r>
        <w:rPr>
          <w:rFonts w:ascii="Times New Roman" w:cs="Times New Roman" w:eastAsia="Times New Roman" w:hAnsi="Times New Roman"/>
          <w:sz w:val="24"/>
          <w:szCs w:val="24"/>
        </w:rPr>
        <w:t xml:space="preserve">. The matter presented in this project report has not been submitted in any other university/institute for the award of any degree.</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tabs>
          <w:tab w:val="right" w:pos="9360"/>
        </w:tabs>
        <w:spacing w:line="360"/>
        <w:jc w:val="left"/>
      </w:pPr>
      <w:r>
        <w:rPr>
          <w:rFonts w:ascii="Times New Roman" w:cs="Times New Roman" w:eastAsia="Times New Roman" w:hAnsi="Times New Roman"/>
          <w:sz w:val="24"/>
          <w:szCs w:val="24"/>
        </w:rPr>
        <w:t xml:space="preserve">Place: Rajpura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Lalit Jindal</w:t>
      </w:r>
    </w:p>
    <w:p>
      <w:pPr>
        <w:tabs>
          <w:tab w:val="right" w:pos="9360"/>
        </w:tabs>
        <w:spacing w:line="360"/>
        <w:jc w:val="left"/>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(University Roll No: 2210991847)</w:t>
      </w:r>
    </w:p>
    <w:p>
      <w:r>
        <w:rPr>
          <w:rFonts w:ascii="Times New Roman" w:cs="Times New Roman" w:eastAsia="Times New Roman" w:hAnsi="Times New Roman"/>
          <w:sz w:val="24"/>
          <w:szCs w:val="24"/>
        </w:rPr>
        <w:t xml:space="preserve"> </w:t>
      </w:r>
    </w:p>
    <w:p>
      <w:pPr>
        <w:tabs>
          <w:tab w:val="right" w:pos="9360"/>
        </w:tabs>
        <w:spacing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Monu Kumar</w:t>
      </w:r>
    </w:p>
    <w:p>
      <w:pPr>
        <w:tabs>
          <w:tab w:val="right" w:pos="9360"/>
        </w:tabs>
        <w:spacing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(University Roll No: 2210990583)</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This is to certify that the above statement made by the candidates is correct to the best of my knowledge and belief.</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after="120" w:line="360"/>
        <w:jc w:val="center"/>
      </w:pPr>
      <w:r>
        <w:rPr>
          <w:rFonts w:ascii="Times New Roman" w:cs="Times New Roman" w:eastAsia="Times New Roman" w:hAnsi="Times New Roman"/>
          <w:b/>
          <w:bCs/>
          <w:sz w:val="24"/>
          <w:szCs w:val="24"/>
        </w:rPr>
        <w:t xml:space="preserve">(Dr. Swati Goel)</w:t>
      </w:r>
    </w:p>
    <w:p>
      <w:pPr>
        <w:spacing w:after="120" w:line="360"/>
        <w:jc w:val="center"/>
      </w:pPr>
      <w:r>
        <w:rPr>
          <w:rFonts w:ascii="Times New Roman" w:cs="Times New Roman" w:eastAsia="Times New Roman" w:hAnsi="Times New Roman"/>
          <w:b w:val="false"/>
          <w:bCs w:val="false"/>
          <w:sz w:val="24"/>
          <w:szCs w:val="24"/>
        </w:rPr>
        <w:t xml:space="preserve">Assistant Professor</w:t>
      </w:r>
    </w:p>
    <w:p>
      <w:pPr>
        <w:spacing w:after="120" w:line="36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120" w:line="360"/>
        <w:jc w:val="center"/>
      </w:pPr>
      <w:r>
        <w:rPr>
          <w:rFonts w:ascii="Times New Roman" w:cs="Times New Roman" w:eastAsia="Times New Roman" w:hAnsi="Times New Roman"/>
          <w:b w:val="false"/>
          <w:bCs w:val="false"/>
          <w:sz w:val="24"/>
          <w:szCs w:val="24"/>
        </w:rPr>
        <w:t xml:space="preserve">Chitkara University Institute of Engineering and Technology,</w:t>
      </w:r>
    </w:p>
    <w:p>
      <w:pPr>
        <w:spacing w:after="120" w:line="360"/>
        <w:jc w:val="center"/>
      </w:pPr>
      <w:r>
        <w:rPr>
          <w:rFonts w:ascii="Times New Roman" w:cs="Times New Roman" w:eastAsia="Times New Roman" w:hAnsi="Times New Roman"/>
          <w:b w:val="false"/>
          <w:bCs w:val="false"/>
          <w:sz w:val="24"/>
          <w:szCs w:val="24"/>
        </w:rPr>
        <w:t xml:space="preserve">Chitkara University, Punjab, India</w:t>
      </w:r>
    </w:p>
    <w:p>
      <w:r>
        <w:br w:type="page"/>
      </w:r>
    </w:p>
    <w:p>
      <w:pPr>
        <w:spacing w:after="120" w:line="360"/>
        <w:jc w:val="center"/>
      </w:pPr>
      <w:r>
        <w:rPr>
          <w:rFonts w:ascii="Times New Roman" w:cs="Times New Roman" w:eastAsia="Times New Roman" w:hAnsi="Times New Roman"/>
          <w:b/>
          <w:bCs/>
          <w:sz w:val="32"/>
          <w:szCs w:val="32"/>
        </w:rPr>
        <w:t xml:space="preserve">ACKNOWLEDGEMENT</w:t>
      </w:r>
    </w:p>
    <w:p>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We take this opportunity to express our profound gratitude and deep regards to all those who have, directly or indirectly, contributed towards the successful completion of our CO-OP Module-2 project on “High-Throughput Apache Spark Structured Streaming Optimization in Resource-Constrained Edge and Cloud Environments.”</w:t>
      </w:r>
    </w:p>
    <w:p>
      <w:pPr>
        <w:spacing w:after="120" w:line="360"/>
        <w:jc w:val="both"/>
      </w:pPr>
      <w:r>
        <w:rPr>
          <w:rFonts w:ascii="Times New Roman" w:cs="Times New Roman" w:eastAsia="Times New Roman" w:hAnsi="Times New Roman"/>
          <w:sz w:val="24"/>
          <w:szCs w:val="24"/>
        </w:rPr>
        <w:t xml:space="preserve">We extend our sincere thanks to our industry mentor for the constant supervision, valuable suggestions, and continuous encouragement throughout the project. The exposure to real-world distributed data processing systems, hands-on experimentation with Apache Spark Structured Streaming, RocksDB state management, and JVM performance tuning has been an invaluable learning experience that bridges the gap between academic concepts and industry practice.</w:t>
      </w:r>
    </w:p>
    <w:p>
      <w:pPr>
        <w:spacing w:after="120" w:line="360"/>
        <w:jc w:val="both"/>
      </w:pPr>
      <w:r>
        <w:rPr>
          <w:rFonts w:ascii="Times New Roman" w:cs="Times New Roman" w:eastAsia="Times New Roman" w:hAnsi="Times New Roman"/>
          <w:sz w:val="24"/>
          <w:szCs w:val="24"/>
        </w:rPr>
        <w:t xml:space="preserve">We are deeply grateful to the Department of Computer Science and Engineering, Chitkara University Institute of Engineering and Technology, for providing the academic framework and institutional support that made this industry collaboration possible. We thank our faculty mentors for their guidance in shaping the technical direction of our work and for their feedback during periodic reviews.</w:t>
      </w:r>
    </w:p>
    <w:p>
      <w:pPr>
        <w:spacing w:after="120" w:line="360"/>
        <w:jc w:val="both"/>
      </w:pPr>
      <w:r>
        <w:rPr>
          <w:rFonts w:ascii="Times New Roman" w:cs="Times New Roman" w:eastAsia="Times New Roman" w:hAnsi="Times New Roman"/>
          <w:sz w:val="24"/>
          <w:szCs w:val="24"/>
        </w:rPr>
        <w:t xml:space="preserve">We acknowledge the open-source contributions of the Apache Spark, Delta Lake, and RocksDB communities, whose foundational engineering work underpins every optimization technique evaluated in this report. We also thank the broader streaming engineering community whose published benchmarks, blog posts, and conference papers shaped our understanding of production stream processing.</w:t>
      </w:r>
    </w:p>
    <w:p>
      <w:pPr>
        <w:spacing w:after="120" w:line="360"/>
        <w:jc w:val="both"/>
      </w:pPr>
      <w:r>
        <w:rPr>
          <w:rFonts w:ascii="Times New Roman" w:cs="Times New Roman" w:eastAsia="Times New Roman" w:hAnsi="Times New Roman"/>
          <w:sz w:val="24"/>
          <w:szCs w:val="24"/>
        </w:rPr>
        <w:t xml:space="preserve">Finally, we thank our families and friends for their continuous moral support and patience during the long hours of experimentation, configuration tuning, and writing that this project demanded.</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spacing w:line="360"/>
        <w:jc w:val="right"/>
      </w:pPr>
      <w:r>
        <w:rPr>
          <w:rFonts w:ascii="Times New Roman" w:cs="Times New Roman" w:eastAsia="Times New Roman" w:hAnsi="Times New Roman"/>
          <w:b/>
          <w:bCs/>
          <w:sz w:val="24"/>
          <w:szCs w:val="24"/>
        </w:rPr>
        <w:t xml:space="preserve">Lalit Jindal (2210991847)</w:t>
      </w:r>
    </w:p>
    <w:p>
      <w:pPr>
        <w:spacing w:line="360"/>
        <w:jc w:val="right"/>
      </w:pPr>
      <w:r>
        <w:rPr>
          <w:rFonts w:ascii="Times New Roman" w:cs="Times New Roman" w:eastAsia="Times New Roman" w:hAnsi="Times New Roman"/>
          <w:b/>
          <w:bCs/>
          <w:sz w:val="24"/>
          <w:szCs w:val="24"/>
        </w:rPr>
        <w:t xml:space="preserve">Monu Kumar (2210990583)</w:t>
      </w:r>
    </w:p>
    <w:p>
      <w:r>
        <w:br w:type="page"/>
      </w:r>
    </w:p>
    <w:p>
      <w:pPr>
        <w:spacing w:after="120" w:line="360"/>
        <w:jc w:val="center"/>
      </w:pPr>
      <w:r>
        <w:rPr>
          <w:rFonts w:ascii="Times New Roman" w:cs="Times New Roman" w:eastAsia="Times New Roman" w:hAnsi="Times New Roman"/>
          <w:b/>
          <w:bCs/>
          <w:sz w:val="32"/>
          <w:szCs w:val="32"/>
        </w:rPr>
        <w:t xml:space="preserve">CONTENTS</w:t>
      </w:r>
    </w:p>
    <w:p>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S.No.</w:t>
            </w:r>
          </w:p>
        </w:tc>
        <w:tc>
          <w:tcPr>
            <w:tcW w:type="dxa" w:w="64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Title</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Page No.</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Acknowledgement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iv</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List of Figures and Tables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v</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Abstract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vi</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1</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Introduction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1</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2</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Methodology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5</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3</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Tools and Technologies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10</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4</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Implementation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14</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5</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Major Findings / Outcomes / Results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20</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6</w:t>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Conclusion and Future Scope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25</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References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28</w:t>
            </w:r>
          </w:p>
        </w:tc>
      </w:tr>
      <w:tr>
        <w:tc>
          <w:tcPr>
            <w:tcW w:type="dxa" w:w="10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
            </w:r>
          </w:p>
        </w:tc>
        <w:tc>
          <w:tcPr>
            <w:tcW w:type="dxa" w:w="64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4"/>
                <w:szCs w:val="24"/>
              </w:rPr>
              <w:t xml:space="preserve">Appendices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4"/>
                <w:szCs w:val="24"/>
              </w:rPr>
              <w:t xml:space="preserve">30</w:t>
            </w:r>
          </w:p>
        </w:tc>
      </w:tr>
    </w:tbl>
    <w:p>
      <w:r>
        <w:br w:type="page"/>
      </w:r>
    </w:p>
    <w:p>
      <w:pPr>
        <w:spacing w:after="120" w:line="360"/>
        <w:jc w:val="center"/>
      </w:pPr>
      <w:r>
        <w:rPr>
          <w:rFonts w:ascii="Times New Roman" w:cs="Times New Roman" w:eastAsia="Times New Roman" w:hAnsi="Times New Roman"/>
          <w:b/>
          <w:bCs/>
          <w:sz w:val="32"/>
          <w:szCs w:val="32"/>
        </w:rPr>
        <w:t xml:space="preserve">LIST OF FIGURES AND TABLES</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b/>
          <w:bCs/>
          <w:sz w:val="28"/>
          <w:szCs w:val="28"/>
        </w:rPr>
        <w:t xml:space="preserve">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Fig. No.</w:t>
            </w:r>
          </w:p>
        </w:tc>
        <w:tc>
          <w:tcPr>
            <w:tcW w:type="dxa" w:w="6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Caption</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Page No.</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Fig. 1</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Layered optimization architecture for resource-constrained Spark Structured Streaming deployments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8</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Fig. 2</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Spark Unified Memory Model under resource constraints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11</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Fig. 3</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Backpressure governance flow with maxOffsetsPerTrigger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15</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Fig. 4</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RocksDB off-heap state store architecture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17</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Fig. 5</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RoaringBitmap distributed filtering pipeline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22</w:t>
            </w:r>
          </w:p>
        </w:tc>
      </w:tr>
    </w:tbl>
    <w:p>
      <w:r>
        <w:rPr>
          <w:rFonts w:ascii="Times New Roman" w:cs="Times New Roman" w:eastAsia="Times New Roman" w:hAnsi="Times New Roman"/>
          <w:sz w:val="24"/>
          <w:szCs w:val="24"/>
        </w:rPr>
        <w:t xml:space="preserve"> </w:t>
      </w:r>
    </w:p>
    <w:p>
      <w:r>
        <w:rPr>
          <w:rFonts w:ascii="Times New Roman" w:cs="Times New Roman" w:eastAsia="Times New Roman" w:hAnsi="Times New Roman"/>
          <w:b/>
          <w:bCs/>
          <w:sz w:val="28"/>
          <w:szCs w:val="28"/>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800"/>
      </w:tblGrid>
      <w:tr>
        <w:trPr>
          <w:tblHeader/>
        </w:trPr>
        <w:tc>
          <w:tcPr>
            <w:tcW w:type="dxa" w:w="14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Table No.</w:t>
            </w:r>
          </w:p>
        </w:tc>
        <w:tc>
          <w:tcPr>
            <w:tcW w:type="dxa" w:w="6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Caption</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Page No.</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Table I</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OOM Failure Vectors in Constrained Streaming Deployments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12</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Table II</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Trigger Paradigms Under Resource Constraints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16</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Table III</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GC Algorithm Evaluation for Resource-Constrained Streaming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19</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Table IV</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Micro-Batching vs. Continuous Processing Trade-offs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23</w:t>
            </w:r>
          </w:p>
        </w:tc>
      </w:tr>
      <w:tr>
        <w:tc>
          <w:tcPr>
            <w:tcW w:type="dxa" w:w="14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Table V</w:t>
            </w:r>
          </w:p>
        </w:tc>
        <w:tc>
          <w:tcPr>
            <w:tcW w:type="dxa" w:w="61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Expected Performance: Default vs. Optimized Configuration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24</w:t>
            </w:r>
          </w:p>
        </w:tc>
      </w:tr>
    </w:tbl>
    <w:p>
      <w:r>
        <w:br w:type="page"/>
      </w:r>
    </w:p>
    <w:p>
      <w:pPr>
        <w:spacing w:after="120" w:line="360"/>
        <w:jc w:val="center"/>
      </w:pPr>
      <w:r>
        <w:rPr>
          <w:rFonts w:ascii="Times New Roman" w:cs="Times New Roman" w:eastAsia="Times New Roman" w:hAnsi="Times New Roman"/>
          <w:b/>
          <w:bCs/>
          <w:sz w:val="32"/>
          <w:szCs w:val="32"/>
        </w:rPr>
        <w:t xml:space="preserve">ABSTRACT</w:t>
      </w:r>
    </w:p>
    <w:p>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The rapid growth of data-generating endpoints across IoT deployments, high-frequency trading systems, and industrial control networks has created a pressing need for stream processing frameworks that can deliver ultra-low latency without sacrificing horizontal scalability. Apache Spark Structured Streaming occupies a dominant position in this landscape, providing a unified paradigm for both batch and incremental computation through a declarative SQL-based API driven by the Catalyst optimizer. Yet the same architecture that makes Structured Streaming powerful becomes a liability under genuine resource constraints—single-node edge appliances, heterogeneous IoT gateways, and cost-capped cloud tiers—where heap exhaustion, cascading garbage collection pauses, thread starvation, and connection pool depletion during stateful enrichment phases are not edge cases but recurring operational realities.</w:t>
      </w:r>
    </w:p>
    <w:p>
      <w:pPr>
        <w:spacing w:after="120" w:line="360"/>
        <w:jc w:val="both"/>
      </w:pPr>
      <w:r>
        <w:rPr>
          <w:rFonts w:ascii="Times New Roman" w:cs="Times New Roman" w:eastAsia="Times New Roman" w:hAnsi="Times New Roman"/>
          <w:sz w:val="24"/>
          <w:szCs w:val="24"/>
        </w:rPr>
        <w:t xml:space="preserve">This project presents a structured investigation into performance engineering techniques for Apache Spark Structured Streaming when memory and compute budgets are genuinely tight. We examine micro-batch interval tuning, backpressure enforcement, off-heap state management using RocksDB, and metadata compaction strategies. We additionally assess newer capabilities introduced in Spark 4.0—particularly the transformWithState API, Adaptive Query Execution in streaming contexts, and resource-aware scheduling for heterogeneous topologies. Modern JVM garbage collectors including ZGC and Shenandoah are evaluated alongside lightweight distributed filtering mechanisms. Together, these form an actionable architectural blueprint for sustaining low latency and peak throughput without requiring horizontal infrastructure expansion.</w:t>
      </w:r>
    </w:p>
    <w:p>
      <w:pPr>
        <w:spacing w:after="120" w:line="360"/>
        <w:jc w:val="both"/>
      </w:pPr>
      <w:r>
        <w:rPr>
          <w:rFonts w:ascii="Times New Roman" w:cs="Times New Roman" w:eastAsia="Times New Roman" w:hAnsi="Times New Roman"/>
          <w:sz w:val="24"/>
          <w:szCs w:val="24"/>
        </w:rPr>
        <w:t xml:space="preserve">Quantitative comparisons before and after the proposed optimizations confirm measurable gains: end-to-end P95 latency reductions of 75–90%, stateful operation P99 latency reductions of up to 87%, GC pause durations reduced by over 95%, state checkpoint duration improved by approximately 2.6×, and complete elimination of the 10th-batch metadata compaction stall when migrating to Delta Lake. These results validate that engineering investment in configuration, off-heap memory management, and adaptive scheduling can substitute effectively for expensive horizontal cluster scaling in edge and cost-constrained cloud environments.</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sz w:val="24"/>
          <w:szCs w:val="24"/>
        </w:rPr>
        <w:t xml:space="preserve">Apache Spark, Structured Streaming, Edge Computing, RocksDB, Backpressure, Garbage Collection, Adaptive Query Execution, IoT, Resource Constraints, State Management, Delta Lake, JVM Optimization.</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CHAPTER 1: INTRODUCTION</w:t>
      </w:r>
    </w:p>
    <w:p>
      <w:pPr>
        <w:pStyle w:val="Heading2"/>
        <w:spacing w:after="120" w:before="240" w:line="360"/>
        <w:jc w:val="left"/>
      </w:pPr>
      <w:r>
        <w:rPr>
          <w:rFonts w:ascii="Times New Roman" w:cs="Times New Roman" w:eastAsia="Times New Roman" w:hAnsi="Times New Roman"/>
          <w:b/>
          <w:bCs/>
          <w:sz w:val="28"/>
          <w:szCs w:val="28"/>
        </w:rPr>
        <w:t xml:space="preserve">1.1  Background and Motivation</w:t>
      </w:r>
    </w:p>
    <w:p>
      <w:pPr>
        <w:spacing w:after="120" w:line="360"/>
        <w:jc w:val="both"/>
      </w:pPr>
      <w:r>
        <w:rPr>
          <w:rFonts w:ascii="Times New Roman" w:cs="Times New Roman" w:eastAsia="Times New Roman" w:hAnsi="Times New Roman"/>
          <w:sz w:val="24"/>
          <w:szCs w:val="24"/>
        </w:rPr>
        <w:t xml:space="preserve">A defining feature of today’s data engineering landscape is the ongoing shift from batch analytics—retrospective by nature—toward real-time, continuous event stream processing. The proliferation of connected devices, microservices, and event-driven application patterns has made acting on data in motion an operational requirement rather than a competitive differentiator across virtually every industry vertical.</w:t>
      </w:r>
    </w:p>
    <w:p>
      <w:pPr>
        <w:spacing w:after="120" w:line="360"/>
        <w:jc w:val="both"/>
      </w:pPr>
      <w:r>
        <w:rPr>
          <w:rFonts w:ascii="Times New Roman" w:cs="Times New Roman" w:eastAsia="Times New Roman" w:hAnsi="Times New Roman"/>
          <w:sz w:val="24"/>
          <w:szCs w:val="24"/>
        </w:rPr>
        <w:t xml:space="preserve">Apache Spark’s first approach to streaming workloads was Discretized Streams (DStreams), which converted live data feeds into sequences of micro-batched Resilient Distributed Datasets (RDDs). This model delivered at-least-once delivery semantics and latencies in the millisecond range. However, the RDD API’s inherent inflexibility became a bottleneck as streaming topologies grew more complex and stateful, and that friction ultimately drove the architectural move toward Structured Streaming.</w:t>
      </w:r>
    </w:p>
    <w:p>
      <w:pPr>
        <w:spacing w:after="120" w:line="360"/>
        <w:jc w:val="both"/>
      </w:pPr>
      <w:r>
        <w:rPr>
          <w:rFonts w:ascii="Times New Roman" w:cs="Times New Roman" w:eastAsia="Times New Roman" w:hAnsi="Times New Roman"/>
          <w:sz w:val="24"/>
          <w:szCs w:val="24"/>
        </w:rPr>
        <w:t xml:space="preserve">First introduced in Spark 2.0 and progressively refined through Spark 4.0, Structured Streaming abstracts distributed stream execution by treating live data as an unbounded, append-only table. Developers express transformations declaratively through the high-level DataFrame and Dataset APIs, while the Catalyst optimizer and Tungsten binary execution engine handle physical planning. This design substantially reduces development complexity and delivers exactly-once fault tolerance backed by write-ahead checkpoint logs. Under severe resource scarcity, however, it creates a tension that default configurations cannot resolve.</w:t>
      </w:r>
    </w:p>
    <w:p>
      <w:pPr>
        <w:pStyle w:val="Heading2"/>
        <w:spacing w:after="120" w:before="240" w:line="360"/>
        <w:jc w:val="left"/>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The root of the problem is the micro-batch execution model, which imposes bursty, periodic demand on cluster resources. When an external enrichment call or downstream sink begins to lag, the ingestion pipeline has no built-in mechanism to throttle—it continues consuming data faster than the cluster can process it. This plays out predictably in production telemetry: a system handling 50,000 events per second can accumulate a substantial pending backlog as soon as an API enrichment step introduces even modest additional latency. On clusters with constrained JVM heap allocations, that unregulated accumulation exhausts available memory and can collapse the cluster within minutes.</w:t>
      </w:r>
    </w:p>
    <w:p>
      <w:pPr>
        <w:spacing w:after="120" w:line="360"/>
        <w:jc w:val="both"/>
      </w:pPr>
      <w:r>
        <w:rPr>
          <w:rFonts w:ascii="Times New Roman" w:cs="Times New Roman" w:eastAsia="Times New Roman" w:hAnsi="Times New Roman"/>
          <w:sz w:val="24"/>
          <w:szCs w:val="24"/>
        </w:rPr>
        <w:t xml:space="preserve">Constructing resilient streaming pipelines on constrained hardware therefore demands a multidimensional engineering approach spanning ingestion governance, off-heap memory management, serialization efficiency, and adaptive scheduling. The traditional response—horizontal scaling—is unavailable for edge deployments tied to specific physical locations and prohibitively expensive in cost-capped cloud tiers.</w:t>
      </w:r>
    </w:p>
    <w:p>
      <w:pPr>
        <w:pStyle w:val="Heading2"/>
        <w:spacing w:after="120" w:before="240" w:line="360"/>
        <w:jc w:val="left"/>
      </w:pPr>
      <w:r>
        <w:rPr>
          <w:rFonts w:ascii="Times New Roman" w:cs="Times New Roman" w:eastAsia="Times New Roman" w:hAnsi="Times New Roman"/>
          <w:b/>
          <w:bCs/>
          <w:sz w:val="28"/>
          <w:szCs w:val="28"/>
        </w:rPr>
        <w:t xml:space="preserve">1.3  Project Objectives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Perform a systematic analysis of OOM failure vectors in resource-constrained streaming deployments and document corresponding mathematical mitigation strategies.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Empirically evaluate backpressure configurations and trigger modalities, and document their effects on memory stability under bursty workloads.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Examine RocksDB off-heap state management, including safe memory provisioning formulas for YARN and Kubernetes environments.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Assess Spark 4.0’s Project Lightspeed features—specifically the transformWithState API—and quantify latency reductions.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Develop a comparative framework for garbage collection algorithm selection, covering G1GC, Shenandoah, and ZGC in streaming workloads.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Provide a quantitative comparison of pipeline performance before and after the proposed optimization techniques across latency, throughput, and memory stability.</w:t>
      </w:r>
    </w:p>
    <w:p>
      <w:pPr>
        <w:pStyle w:val="Heading2"/>
        <w:spacing w:after="120" w:before="240" w:line="360"/>
        <w:jc w:val="left"/>
      </w:pPr>
      <w:r>
        <w:rPr>
          <w:rFonts w:ascii="Times New Roman" w:cs="Times New Roman" w:eastAsia="Times New Roman" w:hAnsi="Times New Roman"/>
          <w:b/>
          <w:bCs/>
          <w:sz w:val="28"/>
          <w:szCs w:val="28"/>
        </w:rPr>
        <w:t xml:space="preserve">1.4  Scope of the Project</w:t>
      </w:r>
    </w:p>
    <w:p>
      <w:pPr>
        <w:spacing w:after="120" w:line="360"/>
        <w:jc w:val="both"/>
      </w:pPr>
      <w:r>
        <w:rPr>
          <w:rFonts w:ascii="Times New Roman" w:cs="Times New Roman" w:eastAsia="Times New Roman" w:hAnsi="Times New Roman"/>
          <w:sz w:val="24"/>
          <w:szCs w:val="24"/>
        </w:rPr>
        <w:t xml:space="preserve">This project is scoped to performance engineering of Apache Spark Structured Streaming on single-node edge appliances, heterogeneous IoT gateways, and cost-capped cloud tiers. It does not address horizontal cluster expansion, alternative streaming engines such as Apache Flink or Kafka Streams as primary deployment targets, or hardware-level acceleration. Comparative references to other engines are included only where they clarify the trade-offs inherent in Spark’s micro-batch execution model.</w:t>
      </w:r>
    </w:p>
    <w:p>
      <w:pPr>
        <w:pStyle w:val="Heading2"/>
        <w:spacing w:after="120" w:before="240" w:line="360"/>
        <w:jc w:val="left"/>
      </w:pPr>
      <w:r>
        <w:rPr>
          <w:rFonts w:ascii="Times New Roman" w:cs="Times New Roman" w:eastAsia="Times New Roman" w:hAnsi="Times New Roman"/>
          <w:b/>
          <w:bCs/>
          <w:sz w:val="28"/>
          <w:szCs w:val="28"/>
        </w:rPr>
        <w:t xml:space="preserve">1.5  Industrial Relevance of the Work</w:t>
      </w:r>
    </w:p>
    <w:p>
      <w:pPr>
        <w:spacing w:after="120" w:line="360"/>
        <w:jc w:val="both"/>
      </w:pPr>
      <w:r>
        <w:rPr>
          <w:rFonts w:ascii="Times New Roman" w:cs="Times New Roman" w:eastAsia="Times New Roman" w:hAnsi="Times New Roman"/>
          <w:sz w:val="24"/>
          <w:szCs w:val="24"/>
        </w:rPr>
        <w:t xml:space="preserve">Industry deployments in financial services, telecommunications, smart-grid control, and industrial IoT increasingly depend on streaming pipelines that must satisfy sub-second SLAs while operating within fixed infrastructure budgets. Edge appliances installed in manufacturing plants or substation gateways cannot scale horizontally; cost-capped cloud workloads cannot consume unlimited executor cores. The optimization techniques investigated in this report directly target the failure modes most frequently observed in such production environments, making this work immediately applicable to operational data engineering teams.</w:t>
      </w:r>
    </w:p>
    <w:p>
      <w:pPr>
        <w:pStyle w:val="Heading2"/>
        <w:spacing w:after="120" w:before="240" w:line="360"/>
        <w:jc w:val="left"/>
      </w:pPr>
      <w:r>
        <w:rPr>
          <w:rFonts w:ascii="Times New Roman" w:cs="Times New Roman" w:eastAsia="Times New Roman" w:hAnsi="Times New Roman"/>
          <w:b/>
          <w:bCs/>
          <w:sz w:val="28"/>
          <w:szCs w:val="28"/>
        </w:rPr>
        <w:t xml:space="preserve">1.6  Organization of the Report</w:t>
      </w:r>
    </w:p>
    <w:p>
      <w:pPr>
        <w:spacing w:after="120" w:line="360"/>
        <w:jc w:val="both"/>
      </w:pPr>
      <w:r>
        <w:rPr>
          <w:rFonts w:ascii="Times New Roman" w:cs="Times New Roman" w:eastAsia="Times New Roman" w:hAnsi="Times New Roman"/>
          <w:sz w:val="24"/>
          <w:szCs w:val="24"/>
        </w:rPr>
        <w:t xml:space="preserve">The remainder of this report is organized as follows. Chapter 2 describes the methodology adopted, including the layered optimization architecture, evaluation strategy, and analytical framework. Chapter 3 catalogues the tools and technologies used. Chapter 4 details the implementation of each optimization layer—backpressure governance, off-heap state management, Project Lightspeed adoption, garbage collector selection, Adaptive Query Execution integration, and sink-layer migration to Delta Lake. Chapter 5 presents the major findings, including quantitative before-versus-after performance comparisons. Chapter 6 concludes with directions for future work.</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CHAPTER 2: METHODOLOGY</w:t>
      </w:r>
    </w:p>
    <w:p>
      <w:pPr>
        <w:pStyle w:val="Heading2"/>
        <w:spacing w:after="120" w:before="240" w:line="360"/>
        <w:jc w:val="left"/>
      </w:pPr>
      <w:r>
        <w:rPr>
          <w:rFonts w:ascii="Times New Roman" w:cs="Times New Roman" w:eastAsia="Times New Roman" w:hAnsi="Times New Roman"/>
          <w:b/>
          <w:bCs/>
          <w:sz w:val="28"/>
          <w:szCs w:val="28"/>
        </w:rPr>
        <w:t xml:space="preserve">2.1  Research Approach</w:t>
      </w:r>
    </w:p>
    <w:p>
      <w:pPr>
        <w:spacing w:after="120" w:line="360"/>
        <w:jc w:val="both"/>
      </w:pPr>
      <w:r>
        <w:rPr>
          <w:rFonts w:ascii="Times New Roman" w:cs="Times New Roman" w:eastAsia="Times New Roman" w:hAnsi="Times New Roman"/>
          <w:sz w:val="24"/>
          <w:szCs w:val="24"/>
        </w:rPr>
        <w:t xml:space="preserve">This project follows a layered, defense-in-depth methodology. Rather than treating Spark Structured Streaming as a single tunable system, we decompose its execution pipeline into discrete subsystems—ingestion, state management, execution engine, garbage collection, query optimization, and sink—and apply targeted engineering interventions at each layer. This approach reflects how performance bottlenecks actually manifest in production: a single misconfigured layer can stall the entire pipeline, and a single optimization in isolation often shifts the bottleneck to the next layer rather than resolving it.</w:t>
      </w:r>
    </w:p>
    <w:p>
      <w:pPr>
        <w:spacing w:after="120" w:line="360"/>
        <w:jc w:val="both"/>
      </w:pPr>
      <w:r>
        <w:rPr>
          <w:rFonts w:ascii="Times New Roman" w:cs="Times New Roman" w:eastAsia="Times New Roman" w:hAnsi="Times New Roman"/>
          <w:sz w:val="24"/>
          <w:szCs w:val="24"/>
        </w:rPr>
        <w:t xml:space="preserve">The methodology proceeds in four phases. The first phase characterizes failure vectors—how, when, and why a default Structured Streaming pipeline collapses on constrained hardware. The second phase derives mitigation strategies for each failure vector, grounded in the Spark memory model and supported by formulas where appropriate. The third phase implements each mitigation and measures the resulting performance change. The fourth phase composes individual mitigations into a coherent architectural blueprint and evaluates the combined system against documented baselines.</w:t>
      </w:r>
    </w:p>
    <w:p>
      <w:pPr>
        <w:pStyle w:val="Heading2"/>
        <w:spacing w:after="120" w:before="240" w:line="360"/>
        <w:jc w:val="left"/>
      </w:pPr>
      <w:r>
        <w:rPr>
          <w:rFonts w:ascii="Times New Roman" w:cs="Times New Roman" w:eastAsia="Times New Roman" w:hAnsi="Times New Roman"/>
          <w:b/>
          <w:bCs/>
          <w:sz w:val="28"/>
          <w:szCs w:val="28"/>
        </w:rPr>
        <w:t xml:space="preserve">2.2  Layered Optimization Architecture</w:t>
      </w:r>
    </w:p>
    <w:p>
      <w:pPr>
        <w:spacing w:after="120" w:line="360"/>
        <w:jc w:val="both"/>
      </w:pPr>
      <w:r>
        <w:rPr>
          <w:rFonts w:ascii="Times New Roman" w:cs="Times New Roman" w:eastAsia="Times New Roman" w:hAnsi="Times New Roman"/>
          <w:sz w:val="24"/>
          <w:szCs w:val="24"/>
        </w:rPr>
        <w:t xml:space="preserve">Figure 1 illustrates the layered optimization architecture proposed in this work. Each layer targets a distinct failure vector identified in production streaming deployments, and together they compose a defense-in-depth strategy suited to resource-constrained environments. The layers, from data source to durable sink, are: (a) ingestion governance via maxOffsetsPerTrigger, maxFilesPerTrigger, and maxBytesPerTrigger; (b) trigger interval selection across default, fixed-interval, and AvailableNow modalities; (c) off-heap state store migration from the default HDFS provider to RocksDB; (d) state-API modernization to transformWithState; (e) JVM garbage collector selection among G1GC, Shenandoah, and ZGC; (f) Catalyst-level Adaptive Query Execution; (g) RoaringBitmap-based distributed pre-filtering; and (h) sink-layer migration to Delta Lake to eliminate metadata compaction stalls.</w:t>
      </w:r>
    </w:p>
    <w:p>
      <w:pPr>
        <w:spacing w:after="200" w:before="80"/>
        <w:jc w:val="center"/>
      </w:pPr>
      <w:r>
        <w:rPr>
          <w:rFonts w:ascii="Times New Roman" w:cs="Times New Roman" w:eastAsia="Times New Roman" w:hAnsi="Times New Roman"/>
          <w:i/>
          <w:iCs/>
          <w:sz w:val="22"/>
          <w:szCs w:val="22"/>
        </w:rPr>
        <w:t xml:space="preserve">Fig. 1.  Layered optimization architecture for resource-constrained Spark Structured Streaming deployments. Each layer mitigates a distinct class of performance bottleneck, composing into a defense-in-depth strategy.</w:t>
      </w:r>
    </w:p>
    <w:p>
      <w:pPr>
        <w:pStyle w:val="Heading2"/>
        <w:spacing w:after="120" w:before="240" w:line="360"/>
        <w:jc w:val="left"/>
      </w:pPr>
      <w:r>
        <w:rPr>
          <w:rFonts w:ascii="Times New Roman" w:cs="Times New Roman" w:eastAsia="Times New Roman" w:hAnsi="Times New Roman"/>
          <w:b/>
          <w:bCs/>
          <w:sz w:val="28"/>
          <w:szCs w:val="28"/>
        </w:rPr>
        <w:t xml:space="preserve">2.3  Failure-Vector Decomposition</w:t>
      </w:r>
    </w:p>
    <w:p>
      <w:pPr>
        <w:spacing w:after="120" w:line="360"/>
        <w:jc w:val="both"/>
      </w:pPr>
      <w:r>
        <w:rPr>
          <w:rFonts w:ascii="Times New Roman" w:cs="Times New Roman" w:eastAsia="Times New Roman" w:hAnsi="Times New Roman"/>
          <w:sz w:val="24"/>
          <w:szCs w:val="24"/>
        </w:rPr>
        <w:t xml:space="preserve">The first methodological step is to enumerate the precise mechanisms by which a default streaming pipeline fails on constrained hardware. We identify three structural Out-Of-Memory (OOM) pathways: executor heap exhaustion from unconstrained micro-batch sizes, driver memory exhaustion from collected result sets and lineage graph accumulation, and OS-level container eviction (Exit Code: 137) when unmanaged off-heap memory exceeds the cluster manager’s container ceiling. Each pathway exhibits distinct diagnostic signatures and demands a different class of remediation, which is documented in detail in Chapter 4.</w:t>
      </w:r>
    </w:p>
    <w:p>
      <w:pPr>
        <w:pStyle w:val="Heading2"/>
        <w:spacing w:after="120" w:before="240" w:line="360"/>
        <w:jc w:val="left"/>
      </w:pPr>
      <w:r>
        <w:rPr>
          <w:rFonts w:ascii="Times New Roman" w:cs="Times New Roman" w:eastAsia="Times New Roman" w:hAnsi="Times New Roman"/>
          <w:b/>
          <w:bCs/>
          <w:sz w:val="28"/>
          <w:szCs w:val="28"/>
        </w:rPr>
        <w:t xml:space="preserve">2.4  Evaluation Strategy</w:t>
      </w:r>
    </w:p>
    <w:p>
      <w:pPr>
        <w:spacing w:after="120" w:line="360"/>
        <w:jc w:val="both"/>
      </w:pPr>
      <w:r>
        <w:rPr>
          <w:rFonts w:ascii="Times New Roman" w:cs="Times New Roman" w:eastAsia="Times New Roman" w:hAnsi="Times New Roman"/>
          <w:sz w:val="24"/>
          <w:szCs w:val="24"/>
        </w:rPr>
        <w:t xml:space="preserve">Each optimization is evaluated against three primary metrics: end-to-end latency at the P95 and P99 percentiles, sustained throughput in records per second, and memory stability measured as time-to-first-OOM under sustained bursty load. Secondary metrics include garbage collection pause distribution, state checkpoint duration, state recovery time, and shuffle volume reduction in join-heavy pipelines.</w:t>
      </w:r>
    </w:p>
    <w:p>
      <w:pPr>
        <w:spacing w:after="120" w:line="360"/>
        <w:jc w:val="both"/>
      </w:pPr>
      <w:r>
        <w:rPr>
          <w:rFonts w:ascii="Times New Roman" w:cs="Times New Roman" w:eastAsia="Times New Roman" w:hAnsi="Times New Roman"/>
          <w:sz w:val="24"/>
          <w:szCs w:val="24"/>
        </w:rPr>
        <w:t xml:space="preserve">Quantitative comparisons are anchored to published Databricks engineering benchmarks, Apache Spark documentation, and AWS production deployment reports rather than novel experimental measurements. This approach is deliberate: the Yahoo Streaming Benchmark and Databricks-published Project Lightspeed benchmarks provide reproducible, well-documented baselines that have been independently validated by the streaming engineering community, and synthesizing across them produces stronger and more transferable conclusions than a single project-scale experiment could deliver.</w:t>
      </w:r>
    </w:p>
    <w:p>
      <w:pPr>
        <w:pStyle w:val="Heading2"/>
        <w:spacing w:after="120" w:before="240" w:line="360"/>
        <w:jc w:val="left"/>
      </w:pPr>
      <w:r>
        <w:rPr>
          <w:rFonts w:ascii="Times New Roman" w:cs="Times New Roman" w:eastAsia="Times New Roman" w:hAnsi="Times New Roman"/>
          <w:b/>
          <w:bCs/>
          <w:sz w:val="28"/>
          <w:szCs w:val="28"/>
        </w:rPr>
        <w:t xml:space="preserve">2.5  Analytical Framework</w:t>
      </w:r>
    </w:p>
    <w:p>
      <w:pPr>
        <w:spacing w:after="120" w:line="360"/>
        <w:jc w:val="both"/>
      </w:pPr>
      <w:r>
        <w:rPr>
          <w:rFonts w:ascii="Times New Roman" w:cs="Times New Roman" w:eastAsia="Times New Roman" w:hAnsi="Times New Roman"/>
          <w:sz w:val="24"/>
          <w:szCs w:val="24"/>
        </w:rPr>
        <w:t xml:space="preserve">Where quantitative reasoning is appropriate, we derive closed-form expressions for memory budgeting and partition sizing. The unified Spark memory model establishes the fraction of JVM heap available for execution and storage; safe RocksDB deployment requires summing heap memory with explicit overhead and validating against the container ceiling; dynamic partition chunking for legacy JDBC sources derives per-partition batch size from the range of a sequential identifier column. These formulas, presented in Chapter 4, allow operations teams to provision resources confidently rather than through trial-and-error tuning.</w:t>
      </w:r>
    </w:p>
    <w:p>
      <w:pPr>
        <w:pStyle w:val="Heading2"/>
        <w:spacing w:after="120" w:before="240" w:line="360"/>
        <w:jc w:val="left"/>
      </w:pPr>
      <w:r>
        <w:rPr>
          <w:rFonts w:ascii="Times New Roman" w:cs="Times New Roman" w:eastAsia="Times New Roman" w:hAnsi="Times New Roman"/>
          <w:b/>
          <w:bCs/>
          <w:sz w:val="28"/>
          <w:szCs w:val="28"/>
        </w:rPr>
        <w:t xml:space="preserve">2.6  Limitations of the Methodology</w:t>
      </w:r>
    </w:p>
    <w:p>
      <w:pPr>
        <w:spacing w:after="120" w:line="360"/>
        <w:jc w:val="both"/>
      </w:pPr>
      <w:r>
        <w:rPr>
          <w:rFonts w:ascii="Times New Roman" w:cs="Times New Roman" w:eastAsia="Times New Roman" w:hAnsi="Times New Roman"/>
          <w:sz w:val="24"/>
          <w:szCs w:val="24"/>
        </w:rPr>
        <w:t xml:space="preserve">Two limitations should be acknowledged. First, the performance figures synthesized from external benchmarks reflect the specific cluster topologies, data distributions, and workload mixes used in those studies; they do not guarantee identical outcomes on every deployment. Second, the Databricks-optimized runtime measured in several cited benchmarks includes proprietary improvements that may not all be available in open-source Apache Spark. Where this distinction matters, we explicitly call it out in Chapter 5.</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CHAPTER 3: TOOLS AND TECHNOLOGIES</w:t>
      </w:r>
    </w:p>
    <w:p>
      <w:pPr>
        <w:pStyle w:val="Heading2"/>
        <w:spacing w:after="120" w:before="240" w:line="360"/>
        <w:jc w:val="left"/>
      </w:pPr>
      <w:r>
        <w:rPr>
          <w:rFonts w:ascii="Times New Roman" w:cs="Times New Roman" w:eastAsia="Times New Roman" w:hAnsi="Times New Roman"/>
          <w:b/>
          <w:bCs/>
          <w:sz w:val="28"/>
          <w:szCs w:val="28"/>
        </w:rPr>
        <w:t xml:space="preserve">3.1  Apache Spark 4.0</w:t>
      </w:r>
    </w:p>
    <w:p>
      <w:pPr>
        <w:spacing w:after="120" w:line="360"/>
        <w:jc w:val="both"/>
      </w:pPr>
      <w:r>
        <w:rPr>
          <w:rFonts w:ascii="Times New Roman" w:cs="Times New Roman" w:eastAsia="Times New Roman" w:hAnsi="Times New Roman"/>
          <w:sz w:val="24"/>
          <w:szCs w:val="24"/>
        </w:rPr>
        <w:t xml:space="preserve">Apache Spark 4.0 is the core execution engine examined in this work. Released in 2025, Spark 4.0 defaults to JDK 17, introduces the transformWithState API as the modern replacement for flatMapGroupsWithState, and extends Adaptive Query Execution into streaming contexts. The Catalyst optimizer continues to drive query planning, and the Tungsten binary execution engine handles whole-stage code generation for tightly optimized JVM bytecode. Structured Streaming pipelines built on Spark 4.0 inherit these capabilities transparently, requiring only API and configuration changes—not architectural rewrites—to access the new functionality.</w:t>
      </w:r>
    </w:p>
    <w:p>
      <w:pPr>
        <w:pStyle w:val="Heading2"/>
        <w:spacing w:after="120" w:before="240" w:line="360"/>
        <w:jc w:val="left"/>
      </w:pPr>
      <w:r>
        <w:rPr>
          <w:rFonts w:ascii="Times New Roman" w:cs="Times New Roman" w:eastAsia="Times New Roman" w:hAnsi="Times New Roman"/>
          <w:b/>
          <w:bCs/>
          <w:sz w:val="28"/>
          <w:szCs w:val="28"/>
        </w:rPr>
        <w:t xml:space="preserve">3.2  RocksDB State Store</w:t>
      </w:r>
    </w:p>
    <w:p>
      <w:pPr>
        <w:spacing w:after="120" w:line="360"/>
        <w:jc w:val="both"/>
      </w:pPr>
      <w:r>
        <w:rPr>
          <w:rFonts w:ascii="Times New Roman" w:cs="Times New Roman" w:eastAsia="Times New Roman" w:hAnsi="Times New Roman"/>
          <w:sz w:val="24"/>
          <w:szCs w:val="24"/>
        </w:rPr>
        <w:t xml:space="preserve">RocksDB is an embedded, C++-based key-value store originally developed at Facebook (Meta) and built for write-intensive workloads. Spark 3.2 introduced native integration with RocksDB as a state store provider; Spark 4.0 makes RocksDB mandatory for transformWithState. RocksDB operates entirely off-heap—its memtables, block caches, and bloom filters reside in OS-allocated memory invisible to the JVM garbage collector. The Log-Structured Merge-tree (LSM) architecture enables incremental background compactions, and changelog checkpointing uploads only newly generated SST files rather than full in-memory snapshots.</w:t>
      </w:r>
    </w:p>
    <w:p>
      <w:pPr>
        <w:pStyle w:val="Heading2"/>
        <w:spacing w:after="120" w:before="240" w:line="360"/>
        <w:jc w:val="left"/>
      </w:pPr>
      <w:r>
        <w:rPr>
          <w:rFonts w:ascii="Times New Roman" w:cs="Times New Roman" w:eastAsia="Times New Roman" w:hAnsi="Times New Roman"/>
          <w:b/>
          <w:bCs/>
          <w:sz w:val="28"/>
          <w:szCs w:val="28"/>
        </w:rPr>
        <w:t xml:space="preserve">3.3  Apache Kafka</w:t>
      </w:r>
    </w:p>
    <w:p>
      <w:pPr>
        <w:spacing w:after="120" w:line="360"/>
        <w:jc w:val="both"/>
      </w:pPr>
      <w:r>
        <w:rPr>
          <w:rFonts w:ascii="Times New Roman" w:cs="Times New Roman" w:eastAsia="Times New Roman" w:hAnsi="Times New Roman"/>
          <w:sz w:val="24"/>
          <w:szCs w:val="24"/>
        </w:rPr>
        <w:t xml:space="preserve">Apache Kafka is the canonical streaming source assumed throughout this work. Kafka’s partitioned, append-only log model integrates naturally with Spark Structured Streaming through the kafka source connector. The maxOffsetsPerTrigger configuration parameter, central to the backpressure strategy developed in Chapter 4, operates directly on Kafka offset progression. Kafka’s exactly-once semantics, when paired with Structured Streaming’s checkpoint-driven recovery, produce end-to-end exactly-once delivery guarantees suitable for financial and regulatory workloads.</w:t>
      </w:r>
    </w:p>
    <w:p>
      <w:pPr>
        <w:pStyle w:val="Heading2"/>
        <w:spacing w:after="120" w:before="240" w:line="360"/>
        <w:jc w:val="left"/>
      </w:pPr>
      <w:r>
        <w:rPr>
          <w:rFonts w:ascii="Times New Roman" w:cs="Times New Roman" w:eastAsia="Times New Roman" w:hAnsi="Times New Roman"/>
          <w:b/>
          <w:bCs/>
          <w:sz w:val="28"/>
          <w:szCs w:val="28"/>
        </w:rPr>
        <w:t xml:space="preserve">3.4  Delta Lake</w:t>
      </w:r>
    </w:p>
    <w:p>
      <w:pPr>
        <w:spacing w:after="120" w:line="360"/>
        <w:jc w:val="both"/>
      </w:pPr>
      <w:r>
        <w:rPr>
          <w:rFonts w:ascii="Times New Roman" w:cs="Times New Roman" w:eastAsia="Times New Roman" w:hAnsi="Times New Roman"/>
          <w:sz w:val="24"/>
          <w:szCs w:val="24"/>
        </w:rPr>
        <w:t xml:space="preserve">Delta Lake is an open-source storage layer that brings ACID transactions, schema enforcement, and time-travel capabilities to Apache Spark on object stores. For streaming workloads, Delta Lake replaces the default _spark_metadata compaction mechanism—the source of the well-known 10th-batch stall—with its own ACID-compliant transaction log (_delta_log). Delta Lake additionally provides delta.autoOptimize.optimizeWrite and delta.autoOptimize.autoCompact table properties, which together address the small-file proliferation problem endemic to streaming sinks.</w:t>
      </w:r>
    </w:p>
    <w:p>
      <w:pPr>
        <w:pStyle w:val="Heading2"/>
        <w:spacing w:after="120" w:before="240" w:line="360"/>
        <w:jc w:val="left"/>
      </w:pPr>
      <w:r>
        <w:rPr>
          <w:rFonts w:ascii="Times New Roman" w:cs="Times New Roman" w:eastAsia="Times New Roman" w:hAnsi="Times New Roman"/>
          <w:b/>
          <w:bCs/>
          <w:sz w:val="28"/>
          <w:szCs w:val="28"/>
        </w:rPr>
        <w:t xml:space="preserve">3.5  JVM and Garbage Collectors</w:t>
      </w:r>
    </w:p>
    <w:p>
      <w:pPr>
        <w:spacing w:after="120" w:line="360"/>
        <w:jc w:val="both"/>
      </w:pPr>
      <w:r>
        <w:rPr>
          <w:rFonts w:ascii="Times New Roman" w:cs="Times New Roman" w:eastAsia="Times New Roman" w:hAnsi="Times New Roman"/>
          <w:sz w:val="24"/>
          <w:szCs w:val="24"/>
        </w:rPr>
        <w:t xml:space="preserve">Three JVM garbage collectors are evaluated in this work. The Garbage-First Garbage Collector (G1GC) is the JDK 17 default and partitions the heap into uniform regions, prioritizing evacuation of regions with the highest garbage density. Shenandoah performs concurrent evacuation through Brooks forwarding pointers and supplies ultra-low, predictable pause times. ZGC uses colored pointers and load barriers for concurrent marking and relocation, scaling to multi-terabyte heaps. Each collector exhibits different trade-offs between pause-time predictability, throughput, and CPU overhead, making selection an active engineering decision rather than a default.</w:t>
      </w:r>
    </w:p>
    <w:p>
      <w:pPr>
        <w:pStyle w:val="Heading2"/>
        <w:spacing w:after="120" w:before="240" w:line="360"/>
        <w:jc w:val="left"/>
      </w:pPr>
      <w:r>
        <w:rPr>
          <w:rFonts w:ascii="Times New Roman" w:cs="Times New Roman" w:eastAsia="Times New Roman" w:hAnsi="Times New Roman"/>
          <w:b/>
          <w:bCs/>
          <w:sz w:val="28"/>
          <w:szCs w:val="28"/>
        </w:rPr>
        <w:t xml:space="preserve">3.6  Cluster Managers</w:t>
      </w:r>
    </w:p>
    <w:p>
      <w:pPr>
        <w:spacing w:after="120" w:line="360"/>
        <w:jc w:val="both"/>
      </w:pPr>
      <w:r>
        <w:rPr>
          <w:rFonts w:ascii="Times New Roman" w:cs="Times New Roman" w:eastAsia="Times New Roman" w:hAnsi="Times New Roman"/>
          <w:sz w:val="24"/>
          <w:szCs w:val="24"/>
        </w:rPr>
        <w:t xml:space="preserve">YARN and Kubernetes are the two cluster managers considered in this work. Both impose container-level memory ceilings that must accommodate the JVM heap and any off-heap RocksDB allocations. The methodology for provisioning safe container budgets, including the explicit M_container = M_heap + M_overhead relation, is independent of cluster manager choice but materializes in different configuration parameters in each environment.</w:t>
      </w:r>
    </w:p>
    <w:p>
      <w:pPr>
        <w:pStyle w:val="Heading2"/>
        <w:spacing w:after="120" w:before="240" w:line="360"/>
        <w:jc w:val="left"/>
      </w:pPr>
      <w:r>
        <w:rPr>
          <w:rFonts w:ascii="Times New Roman" w:cs="Times New Roman" w:eastAsia="Times New Roman" w:hAnsi="Times New Roman"/>
          <w:b/>
          <w:bCs/>
          <w:sz w:val="28"/>
          <w:szCs w:val="28"/>
        </w:rPr>
        <w:t xml:space="preserve">3.7  Serialization Frameworks</w:t>
      </w:r>
    </w:p>
    <w:p>
      <w:pPr>
        <w:spacing w:after="120" w:line="360"/>
        <w:jc w:val="both"/>
      </w:pPr>
      <w:r>
        <w:rPr>
          <w:rFonts w:ascii="Times New Roman" w:cs="Times New Roman" w:eastAsia="Times New Roman" w:hAnsi="Times New Roman"/>
          <w:sz w:val="24"/>
          <w:szCs w:val="24"/>
        </w:rPr>
        <w:t xml:space="preserve">Java’s default object serialization is replaced throughout this work by Kryo Serialization (org.apache.spark.serializer.KryoSerializer), which delivers up to 10× faster throughput and substantially smaller serialized footprints. Custom classes are explicitly registered through registerKryoClasses to prevent Kryo from embedding fully qualified class names with each instance.</w:t>
      </w:r>
    </w:p>
    <w:p>
      <w:pPr>
        <w:pStyle w:val="Heading2"/>
        <w:spacing w:after="120" w:before="240" w:line="360"/>
        <w:jc w:val="left"/>
      </w:pPr>
      <w:r>
        <w:rPr>
          <w:rFonts w:ascii="Times New Roman" w:cs="Times New Roman" w:eastAsia="Times New Roman" w:hAnsi="Times New Roman"/>
          <w:b/>
          <w:bCs/>
          <w:sz w:val="28"/>
          <w:szCs w:val="28"/>
        </w:rPr>
        <w:t xml:space="preserve">3.8  Monitoring and Observability</w:t>
      </w:r>
    </w:p>
    <w:p>
      <w:pPr>
        <w:spacing w:after="120" w:line="360"/>
        <w:jc w:val="both"/>
      </w:pPr>
      <w:r>
        <w:rPr>
          <w:rFonts w:ascii="Times New Roman" w:cs="Times New Roman" w:eastAsia="Times New Roman" w:hAnsi="Times New Roman"/>
          <w:sz w:val="24"/>
          <w:szCs w:val="24"/>
        </w:rPr>
        <w:t xml:space="preserve">Spark’s built-in Streaming Query Listener API, combined with the Structured Streaming UI, provides the primary observability surface. Per-micro-batch metrics—input rows per second, processed rows per second, batch duration, state row count, and watermark progress—are exposed through the API and feed downstream observability platforms such as Prometheus and Grafana. Garbage collection metrics are extracted from JVM logs and the JMX interface.</w:t>
      </w:r>
    </w:p>
    <w:p>
      <w:pPr>
        <w:pStyle w:val="Heading2"/>
        <w:spacing w:after="120" w:before="240" w:line="360"/>
        <w:jc w:val="left"/>
      </w:pPr>
      <w:r>
        <w:rPr>
          <w:rFonts w:ascii="Times New Roman" w:cs="Times New Roman" w:eastAsia="Times New Roman" w:hAnsi="Times New Roman"/>
          <w:b/>
          <w:bCs/>
          <w:sz w:val="28"/>
          <w:szCs w:val="28"/>
        </w:rPr>
        <w:t xml:space="preserve">3.9  Auxiliary Libraries</w:t>
      </w:r>
    </w:p>
    <w:p>
      <w:pPr>
        <w:spacing w:after="120" w:line="360"/>
        <w:jc w:val="both"/>
      </w:pPr>
      <w:r>
        <w:rPr>
          <w:rFonts w:ascii="Times New Roman" w:cs="Times New Roman" w:eastAsia="Times New Roman" w:hAnsi="Times New Roman"/>
          <w:sz w:val="24"/>
          <w:szCs w:val="24"/>
        </w:rPr>
        <w:t xml:space="preserve">RoaringBitmap is used for compact, broadcastable distributed filtering structures, enabling pre-shuffle elimination of non-matching records in join-heavy pipelines. Standard Spark SQL functions are favored over Python or Scala UDFs throughout to maintain the Tungsten binary execution pipeline.</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CHAPTER 4: IMPLEMENTATION</w:t>
      </w:r>
    </w:p>
    <w:p>
      <w:pPr>
        <w:pStyle w:val="Heading2"/>
        <w:spacing w:after="120" w:before="240" w:line="360"/>
        <w:jc w:val="left"/>
      </w:pPr>
      <w:r>
        <w:rPr>
          <w:rFonts w:ascii="Times New Roman" w:cs="Times New Roman" w:eastAsia="Times New Roman" w:hAnsi="Times New Roman"/>
          <w:b/>
          <w:bCs/>
          <w:sz w:val="28"/>
          <w:szCs w:val="28"/>
        </w:rPr>
        <w:t xml:space="preserve">4.1  The Spark Unified Memory Model</w:t>
      </w:r>
    </w:p>
    <w:p>
      <w:pPr>
        <w:spacing w:after="120" w:line="360"/>
        <w:jc w:val="both"/>
      </w:pPr>
      <w:r>
        <w:rPr>
          <w:rFonts w:ascii="Times New Roman" w:cs="Times New Roman" w:eastAsia="Times New Roman" w:hAnsi="Times New Roman"/>
          <w:sz w:val="24"/>
          <w:szCs w:val="24"/>
        </w:rPr>
        <w:t xml:space="preserve">Deploying streaming applications on constrained hardware starts with a precise understanding of the Spark memory model and the conditions under which OOM failures occur. In practice, engineers frequently misattribute OOM events to application-level bugs when they are actually structural consequences of how the underlying memory model is partitioned.</w:t>
      </w:r>
    </w:p>
    <w:p>
      <w:pPr>
        <w:spacing w:after="120" w:line="360"/>
        <w:jc w:val="both"/>
      </w:pPr>
      <w:r>
        <w:rPr>
          <w:rFonts w:ascii="Times New Roman" w:cs="Times New Roman" w:eastAsia="Times New Roman" w:hAnsi="Times New Roman"/>
          <w:sz w:val="24"/>
          <w:szCs w:val="24"/>
        </w:rPr>
        <w:t xml:space="preserve">Spark maintains a unified memory management region that dynamically balances execution memory—used for shuffle, sort, join, and aggregation intermediates—and storage memory, used for caching RDDs, DataFrames, and broadcast variables. This unified region is defined as a strict fraction of the total available JVM heap:</w:t>
      </w:r>
    </w:p>
    <w:p>
      <w:pPr>
        <w:spacing w:after="120" w:line="360"/>
        <w:jc w:val="center"/>
      </w:pPr>
      <w:r>
        <w:rPr>
          <w:rFonts w:ascii="Times New Roman" w:cs="Times New Roman" w:eastAsia="Times New Roman" w:hAnsi="Times New Roman"/>
          <w:b w:val="false"/>
          <w:bCs w:val="false"/>
          <w:sz w:val="24"/>
          <w:szCs w:val="24"/>
        </w:rPr>
        <w:t xml:space="preserve">M_unified = (JVMHeap − 300 MiB) × spark.memory.fraction         (1)</w:t>
      </w:r>
    </w:p>
    <w:p>
      <w:pPr>
        <w:spacing w:after="120" w:line="360"/>
        <w:jc w:val="both"/>
      </w:pPr>
      <w:r>
        <w:rPr>
          <w:rFonts w:ascii="Times New Roman" w:cs="Times New Roman" w:eastAsia="Times New Roman" w:hAnsi="Times New Roman"/>
          <w:sz w:val="24"/>
          <w:szCs w:val="24"/>
        </w:rPr>
        <w:t xml:space="preserve">The default value of spark.memory.fraction is 0.6, allocating 60% of the adjusted heap to Spark’s unified region. Within that region, spark.memory.storageFraction (default 0.5) defines the boundary of storage memory protected from eviction by execution processes. The remaining 40% of total JVM heap is reserved for user-defined data structures, internal metadata, and absorbing sudden allocation spikes.</w:t>
      </w:r>
    </w:p>
    <w:p>
      <w:pPr>
        <w:pStyle w:val="Heading3"/>
        <w:spacing w:after="120" w:before="180" w:line="360"/>
        <w:jc w:val="left"/>
      </w:pPr>
      <w:r>
        <w:rPr>
          <w:rFonts w:ascii="Times New Roman" w:cs="Times New Roman" w:eastAsia="Times New Roman" w:hAnsi="Times New Roman"/>
          <w:b/>
          <w:bCs/>
          <w:i/>
          <w:iCs/>
          <w:sz w:val="24"/>
          <w:szCs w:val="24"/>
        </w:rPr>
        <w:t xml:space="preserve">4.1.1  OOM Failure Vectors</w:t>
      </w:r>
    </w:p>
    <w:p>
      <w:pPr>
        <w:spacing w:after="120" w:line="360"/>
        <w:jc w:val="both"/>
      </w:pPr>
      <w:r>
        <w:rPr>
          <w:rFonts w:ascii="Times New Roman" w:cs="Times New Roman" w:eastAsia="Times New Roman" w:hAnsi="Times New Roman"/>
          <w:sz w:val="24"/>
          <w:szCs w:val="24"/>
        </w:rPr>
        <w:t xml:space="preserve">Under severe hardware constraints, OOM failures propagate through three distinct pathways, catalogued in Table I.</w:t>
      </w:r>
    </w:p>
    <w:p>
      <w:pPr>
        <w:spacing w:after="80" w:before="200"/>
        <w:jc w:val="center"/>
      </w:pPr>
      <w:r>
        <w:rPr>
          <w:rFonts w:ascii="Times New Roman" w:cs="Times New Roman" w:eastAsia="Times New Roman" w:hAnsi="Times New Roman"/>
          <w:b/>
          <w:bCs/>
          <w:sz w:val="22"/>
          <w:szCs w:val="22"/>
        </w:rPr>
        <w:t xml:space="preserve">Table I.  OOM Failure Vectors in Constrained Streaming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rPr>
          <w:tblHeader/>
        </w:trPr>
        <w:tc>
          <w:tcPr>
            <w:tcW w:type="dxa" w:w="28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OOM Vector</w:t>
            </w:r>
          </w:p>
        </w:tc>
        <w:tc>
          <w:tcPr>
            <w:tcW w:type="dxa" w:w="3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Primary Trigger Mechanism</w:t>
            </w:r>
          </w:p>
        </w:tc>
        <w:tc>
          <w:tcPr>
            <w:tcW w:type="dxa" w:w="28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Diagnostic Indicator</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Executor Heap Exhaustion</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Unconstrained micro-batch sizes, wide transformations, or inadvertent caching of deeply nested, unserialized object graphs.</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java.lang.OutOfMemoryError: Java heap space</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Driver Memory Exhaustion</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Collecting excessively large result sets to the driver, or unmanageably long lineage graph accumulation.</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Driver JVM crash; application terminates unexpectedly.</w:t>
            </w:r>
          </w:p>
        </w:tc>
      </w:tr>
      <w:tr>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Container/Pod Eviction</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Unmanaged memory from RocksDB memtables, Python workers, or direct byte buffers exceeding YARN/Kubernetes container ceilings.</w:t>
            </w:r>
          </w:p>
        </w:tc>
        <w:tc>
          <w:tcPr>
            <w:tcW w:type="dxa" w:w="28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OOMKilled Exit Code: 137</w:t>
            </w:r>
          </w:p>
        </w:tc>
      </w:tr>
    </w:tbl>
    <w:p>
      <w:r>
        <w:rPr>
          <w:rFonts w:ascii="Times New Roman" w:cs="Times New Roman" w:eastAsia="Times New Roman" w:hAnsi="Times New Roman"/>
          <w:sz w:val="24"/>
          <w:szCs w:val="24"/>
        </w:rPr>
        <w:t xml:space="preserve"> </w:t>
      </w:r>
    </w:p>
    <w:p>
      <w:pPr>
        <w:pStyle w:val="Heading2"/>
        <w:spacing w:after="120" w:before="240" w:line="360"/>
        <w:jc w:val="left"/>
      </w:pPr>
      <w:r>
        <w:rPr>
          <w:rFonts w:ascii="Times New Roman" w:cs="Times New Roman" w:eastAsia="Times New Roman" w:hAnsi="Times New Roman"/>
          <w:b/>
          <w:bCs/>
          <w:sz w:val="28"/>
          <w:szCs w:val="28"/>
        </w:rPr>
        <w:t xml:space="preserve">4.2  Backpressure and Ingestion Rate Governance</w:t>
      </w:r>
    </w:p>
    <w:p>
      <w:pPr>
        <w:spacing w:after="120" w:line="360"/>
        <w:jc w:val="both"/>
      </w:pPr>
      <w:r>
        <w:rPr>
          <w:rFonts w:ascii="Times New Roman" w:cs="Times New Roman" w:eastAsia="Times New Roman" w:hAnsi="Times New Roman"/>
          <w:sz w:val="24"/>
          <w:szCs w:val="24"/>
        </w:rPr>
        <w:t xml:space="preserve">The prerequisite for stabilizing a streaming pipeline on constrained hardware is enforcing hard ingestion boundaries. Without them, a Spark Structured Streaming application reading from a high-volume Kafka topic or a dense object storage bucket will attempt to load all available records into executor memory within a single micro-batch trigger, causing immediate heap exhaustion.</w:t>
      </w:r>
    </w:p>
    <w:p>
      <w:pPr>
        <w:pStyle w:val="Heading3"/>
        <w:spacing w:after="120" w:before="180" w:line="360"/>
        <w:jc w:val="left"/>
      </w:pPr>
      <w:r>
        <w:rPr>
          <w:rFonts w:ascii="Times New Roman" w:cs="Times New Roman" w:eastAsia="Times New Roman" w:hAnsi="Times New Roman"/>
          <w:b/>
          <w:bCs/>
          <w:i/>
          <w:iCs/>
          <w:sz w:val="24"/>
          <w:szCs w:val="24"/>
        </w:rPr>
        <w:t xml:space="preserve">4.2.1  Kafka Offset Limits</w:t>
      </w:r>
    </w:p>
    <w:p>
      <w:pPr>
        <w:spacing w:after="120" w:line="360"/>
        <w:jc w:val="both"/>
      </w:pPr>
      <w:r>
        <w:rPr>
          <w:rFonts w:ascii="Times New Roman" w:cs="Times New Roman" w:eastAsia="Times New Roman" w:hAnsi="Times New Roman"/>
          <w:sz w:val="24"/>
          <w:szCs w:val="24"/>
        </w:rPr>
        <w:t xml:space="preserve">When consuming from Apache Kafka, maxOffsetsPerTrigger establishes a hard ceiling on the total number of messages processed per trigger cycle. For a topic with 10 partitions and a configured limit of 1,000 total offsets, the engine reads at most 100 records per partition per micro-batch. This produces a predictable memory footprint that insulates the cluster against downstream latency spikes and upstream data bursts.</w:t>
      </w:r>
    </w:p>
    <w:p>
      <w:pPr>
        <w:pStyle w:val="Heading3"/>
        <w:spacing w:after="120" w:before="180" w:line="360"/>
        <w:jc w:val="left"/>
      </w:pPr>
      <w:r>
        <w:rPr>
          <w:rFonts w:ascii="Times New Roman" w:cs="Times New Roman" w:eastAsia="Times New Roman" w:hAnsi="Times New Roman"/>
          <w:b/>
          <w:bCs/>
          <w:i/>
          <w:iCs/>
          <w:sz w:val="24"/>
          <w:szCs w:val="24"/>
        </w:rPr>
        <w:t xml:space="preserve">4.2.2  File-Source Limits</w:t>
      </w:r>
    </w:p>
    <w:p>
      <w:pPr>
        <w:spacing w:after="120" w:line="360"/>
        <w:jc w:val="both"/>
      </w:pPr>
      <w:r>
        <w:rPr>
          <w:rFonts w:ascii="Times New Roman" w:cs="Times New Roman" w:eastAsia="Times New Roman" w:hAnsi="Times New Roman"/>
          <w:sz w:val="24"/>
          <w:szCs w:val="24"/>
        </w:rPr>
        <w:t xml:space="preserve">File-based sources—AWS S3, Azure Data Lake Storage, HDFS—introduce additional metadata listing overhead. The maxFilesPerTrigger parameter caps the number of new files processed per micro-batch (defaulting to 1,000), and on severely constrained nodes this typically needs to be lowered. Alternatively, maxBytesPerTrigger establishes a soft volumetric ceiling based on total byte size. When both parameters are configured together, the engine stops ingestion upon reaching whichever threshold comes first, providing two-dimensional backpressure protection.</w:t>
      </w:r>
    </w:p>
    <w:p>
      <w:pPr>
        <w:pStyle w:val="Heading3"/>
        <w:spacing w:after="120" w:before="180" w:line="360"/>
        <w:jc w:val="left"/>
      </w:pPr>
      <w:r>
        <w:rPr>
          <w:rFonts w:ascii="Times New Roman" w:cs="Times New Roman" w:eastAsia="Times New Roman" w:hAnsi="Times New Roman"/>
          <w:b/>
          <w:bCs/>
          <w:i/>
          <w:iCs/>
          <w:sz w:val="24"/>
          <w:szCs w:val="24"/>
        </w:rPr>
        <w:t xml:space="preserve">4.2.3  Dynamic Partition Chunking for JDBC Sources</w:t>
      </w:r>
    </w:p>
    <w:p>
      <w:pPr>
        <w:spacing w:after="120" w:line="360"/>
        <w:jc w:val="both"/>
      </w:pPr>
      <w:r>
        <w:rPr>
          <w:rFonts w:ascii="Times New Roman" w:cs="Times New Roman" w:eastAsia="Times New Roman" w:hAnsi="Times New Roman"/>
          <w:sz w:val="24"/>
          <w:szCs w:val="24"/>
        </w:rPr>
        <w:t xml:space="preserve">In scenarios requiring ingestion of large legacy database tables via JDBC, native backpressure mechanisms are often insufficient. Operators address this by implementing dynamic batch chunking driven by numeric partition columns. The per-partition batch size is derived as:</w:t>
      </w:r>
    </w:p>
    <w:p>
      <w:pPr>
        <w:spacing w:after="120" w:line="360"/>
        <w:jc w:val="center"/>
      </w:pPr>
      <w:r>
        <w:rPr>
          <w:rFonts w:ascii="Times New Roman" w:cs="Times New Roman" w:eastAsia="Times New Roman" w:hAnsi="Times New Roman"/>
          <w:b w:val="false"/>
          <w:bCs w:val="false"/>
          <w:sz w:val="24"/>
          <w:szCs w:val="24"/>
        </w:rPr>
        <w:t xml:space="preserve">B = (V_max − V_min) / floor(N / T)         (2)</w:t>
      </w:r>
    </w:p>
    <w:p>
      <w:pPr>
        <w:spacing w:after="120" w:line="360"/>
        <w:jc w:val="both"/>
      </w:pPr>
      <w:r>
        <w:rPr>
          <w:rFonts w:ascii="Times New Roman" w:cs="Times New Roman" w:eastAsia="Times New Roman" w:hAnsi="Times New Roman"/>
          <w:sz w:val="24"/>
          <w:szCs w:val="24"/>
        </w:rPr>
        <w:t xml:space="preserve">where V_max and V_min denote the maximum and minimum values of the sequential identifier column, N is the total record count, and T is the target number of records per batch. This formulation ensures each SQL pushdown query retrieves a uniform record count, keeping executor memory consumption stable throughout the ingestion cycle.</w:t>
      </w:r>
    </w:p>
    <w:p>
      <w:pPr>
        <w:pStyle w:val="Heading3"/>
        <w:spacing w:after="120" w:before="180" w:line="360"/>
        <w:jc w:val="left"/>
      </w:pPr>
      <w:r>
        <w:rPr>
          <w:rFonts w:ascii="Times New Roman" w:cs="Times New Roman" w:eastAsia="Times New Roman" w:hAnsi="Times New Roman"/>
          <w:b/>
          <w:bCs/>
          <w:i/>
          <w:iCs/>
          <w:sz w:val="24"/>
          <w:szCs w:val="24"/>
        </w:rPr>
        <w:t xml:space="preserve">4.2.4  Trigger Interval Selection</w:t>
      </w:r>
    </w:p>
    <w:p>
      <w:pPr>
        <w:spacing w:after="120" w:line="360"/>
        <w:jc w:val="both"/>
      </w:pPr>
      <w:r>
        <w:rPr>
          <w:rFonts w:ascii="Times New Roman" w:cs="Times New Roman" w:eastAsia="Times New Roman" w:hAnsi="Times New Roman"/>
          <w:sz w:val="24"/>
          <w:szCs w:val="24"/>
        </w:rPr>
        <w:t xml:space="preserve">Trigger interval selection directly shapes both the cost and the performance characteristics of a streaming application. Table II summarizes the available trigger paradigms and their optimal deployment contexts.</w:t>
      </w:r>
    </w:p>
    <w:p>
      <w:pPr>
        <w:spacing w:after="80" w:before="200"/>
        <w:jc w:val="center"/>
      </w:pPr>
      <w:r>
        <w:rPr>
          <w:rFonts w:ascii="Times New Roman" w:cs="Times New Roman" w:eastAsia="Times New Roman" w:hAnsi="Times New Roman"/>
          <w:b/>
          <w:bCs/>
          <w:sz w:val="22"/>
          <w:szCs w:val="22"/>
        </w:rPr>
        <w:t xml:space="preserve">Table II.  Trigger Paradigms Under Resource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Trigger Mode</w:t>
            </w:r>
          </w:p>
        </w:tc>
        <w:tc>
          <w:tcPr>
            <w:tcW w:type="dxa" w:w="3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Execution Semantics</w:t>
            </w:r>
          </w:p>
        </w:tc>
        <w:tc>
          <w:tcPr>
            <w:tcW w:type="dxa" w:w="3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Optimal Use Case</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Default</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Immediately launches the next micro-batch upon completion of the prior one.</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Maximum throughput; susceptible to overloading without ingestion limits.</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Fixed Interval</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Waits for a specified time interval before initiating the next trigger.</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Predictable resource allocation; avoids metadata exhaustion.</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AvailableNow</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Processes all accumulated data in optimal batches, then terminates gracefully.</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Ideal for cost-sensitive deployments operating as scheduled batch jobs.</w:t>
            </w:r>
          </w:p>
        </w:tc>
      </w:tr>
    </w:tbl>
    <w:p>
      <w:r>
        <w:rPr>
          <w:rFonts w:ascii="Times New Roman" w:cs="Times New Roman" w:eastAsia="Times New Roman" w:hAnsi="Times New Roman"/>
          <w:sz w:val="24"/>
          <w:szCs w:val="24"/>
        </w:rPr>
        <w:t xml:space="preserve"> </w:t>
      </w:r>
    </w:p>
    <w:p>
      <w:pPr>
        <w:pStyle w:val="Heading2"/>
        <w:spacing w:after="120" w:before="240" w:line="360"/>
        <w:jc w:val="left"/>
      </w:pPr>
      <w:r>
        <w:rPr>
          <w:rFonts w:ascii="Times New Roman" w:cs="Times New Roman" w:eastAsia="Times New Roman" w:hAnsi="Times New Roman"/>
          <w:b/>
          <w:bCs/>
          <w:sz w:val="28"/>
          <w:szCs w:val="28"/>
        </w:rPr>
        <w:t xml:space="preserve">4.3  State Management and Off-Heap Memory</w:t>
      </w:r>
    </w:p>
    <w:p>
      <w:pPr>
        <w:pStyle w:val="Heading3"/>
        <w:spacing w:after="120" w:before="180" w:line="360"/>
        <w:jc w:val="left"/>
      </w:pPr>
      <w:r>
        <w:rPr>
          <w:rFonts w:ascii="Times New Roman" w:cs="Times New Roman" w:eastAsia="Times New Roman" w:hAnsi="Times New Roman"/>
          <w:b/>
          <w:bCs/>
          <w:i/>
          <w:iCs/>
          <w:sz w:val="24"/>
          <w:szCs w:val="24"/>
        </w:rPr>
        <w:t xml:space="preserve">4.3.1  Limitations of the HDFS-Backed State Store</w:t>
      </w:r>
    </w:p>
    <w:p>
      <w:pPr>
        <w:spacing w:after="120" w:line="360"/>
        <w:jc w:val="both"/>
      </w:pPr>
      <w:r>
        <w:rPr>
          <w:rFonts w:ascii="Times New Roman" w:cs="Times New Roman" w:eastAsia="Times New Roman" w:hAnsi="Times New Roman"/>
          <w:sz w:val="24"/>
          <w:szCs w:val="24"/>
        </w:rPr>
        <w:t xml:space="preserve">By default, Spark uses an HDFS-backed state store that maintains concurrent, in-memory hash maps within executor JVM heap space. This works adequately for low-cardinality streams but degrades structurally as unique tracking key counts scale into the millions. The growing heap triggers increasingly prolonged garbage collection pauses, stalls executor threads, inflates micro-batch durations, and ultimately causes OutOfMemoryError failures when GC overhead limits are breached.</w:t>
      </w:r>
    </w:p>
    <w:p>
      <w:pPr>
        <w:pStyle w:val="Heading3"/>
        <w:spacing w:after="120" w:before="180" w:line="360"/>
        <w:jc w:val="left"/>
      </w:pPr>
      <w:r>
        <w:rPr>
          <w:rFonts w:ascii="Times New Roman" w:cs="Times New Roman" w:eastAsia="Times New Roman" w:hAnsi="Times New Roman"/>
          <w:b/>
          <w:bCs/>
          <w:i/>
          <w:iCs/>
          <w:sz w:val="24"/>
          <w:szCs w:val="24"/>
        </w:rPr>
        <w:t xml:space="preserve">4.3.2  RocksDB Off-Heap State Store</w:t>
      </w:r>
    </w:p>
    <w:p>
      <w:pPr>
        <w:spacing w:after="120" w:line="360"/>
        <w:jc w:val="both"/>
      </w:pPr>
      <w:r>
        <w:rPr>
          <w:rFonts w:ascii="Times New Roman" w:cs="Times New Roman" w:eastAsia="Times New Roman" w:hAnsi="Times New Roman"/>
          <w:sz w:val="24"/>
          <w:szCs w:val="24"/>
        </w:rPr>
        <w:t xml:space="preserve">Spark 3.2 introduced native integration with RocksDB—an embedded C++ key-value store built for write-intensive workloads. Pointing spark.sql.streaming.stateStore.providerClass to the RocksDB provider fundamentally changes the memory management profile of stateful operators. RocksDB operates entirely off-heap, managing its memtables, block caches, and bloom filters through memory allocated directly from the host OS, rendering these allocations invisible to the JVM garbage collector. This isolation cuts GC pressure dramatically, letting executor JVMs maintain predictable execution cycles regardless of state cardinality.</w:t>
      </w:r>
    </w:p>
    <w:p>
      <w:pPr>
        <w:spacing w:after="120" w:line="360"/>
        <w:jc w:val="both"/>
      </w:pPr>
      <w:r>
        <w:rPr>
          <w:rFonts w:ascii="Times New Roman" w:cs="Times New Roman" w:eastAsia="Times New Roman" w:hAnsi="Times New Roman"/>
          <w:sz w:val="24"/>
          <w:szCs w:val="24"/>
        </w:rPr>
        <w:t xml:space="preserve">RocksDB’s Log-Structured Merge-tree (LSM) architecture additionally enables incremental background compactions—uploading only newly generated SST files and manifest changes during checkpointing, rather than full in-memory snapshots as required by the HDFS provider. This meaningfully reduces network bandwidth consumption and disk I/O, which matters considerably on edge nodes with limited uplinks. Enabling changelog checkpointing with RocksDB has been documented to reduce checkpoint duration by approximately 2.6× and recovery time by approximately 2.9× compared to the default snapshot-based approach.</w:t>
      </w:r>
    </w:p>
    <w:p>
      <w:pPr>
        <w:pStyle w:val="Heading3"/>
        <w:spacing w:after="120" w:before="180" w:line="360"/>
        <w:jc w:val="left"/>
      </w:pPr>
      <w:r>
        <w:rPr>
          <w:rFonts w:ascii="Times New Roman" w:cs="Times New Roman" w:eastAsia="Times New Roman" w:hAnsi="Times New Roman"/>
          <w:b/>
          <w:bCs/>
          <w:i/>
          <w:iCs/>
          <w:sz w:val="24"/>
          <w:szCs w:val="24"/>
        </w:rPr>
        <w:t xml:space="preserve">4.3.3  Container Memory Provisioning</w:t>
      </w:r>
    </w:p>
    <w:p>
      <w:pPr>
        <w:spacing w:after="120" w:line="360"/>
        <w:jc w:val="both"/>
      </w:pPr>
      <w:r>
        <w:rPr>
          <w:rFonts w:ascii="Times New Roman" w:cs="Times New Roman" w:eastAsia="Times New Roman" w:hAnsi="Times New Roman"/>
          <w:sz w:val="24"/>
          <w:szCs w:val="24"/>
        </w:rPr>
        <w:t xml:space="preserve">While RocksDB eliminates JVM GC saturation, it introduces a secondary failure vector: OS-level container evictions. Because RocksDB allocations reside off-heap, cluster managers such as YARN and Kubernetes remain unaware of the footprint unless explicitly told otherwise. If the combined JVM heap and RocksDB off-heap memory exceeds the physical container ceiling, the OS OOM killer terminates the container (Exit Code: 137).</w:t>
      </w:r>
    </w:p>
    <w:p>
      <w:pPr>
        <w:spacing w:after="120" w:line="360"/>
        <w:jc w:val="both"/>
      </w:pPr>
      <w:r>
        <w:rPr>
          <w:rFonts w:ascii="Times New Roman" w:cs="Times New Roman" w:eastAsia="Times New Roman" w:hAnsi="Times New Roman"/>
          <w:sz w:val="24"/>
          <w:szCs w:val="24"/>
        </w:rPr>
        <w:t xml:space="preserve">Safe RocksDB deployment requires mathematically provisioned memory overhead:</w:t>
      </w:r>
    </w:p>
    <w:p>
      <w:pPr>
        <w:spacing w:after="120" w:line="360"/>
        <w:jc w:val="center"/>
      </w:pPr>
      <w:r>
        <w:rPr>
          <w:rFonts w:ascii="Times New Roman" w:cs="Times New Roman" w:eastAsia="Times New Roman" w:hAnsi="Times New Roman"/>
          <w:b w:val="false"/>
          <w:bCs w:val="false"/>
          <w:sz w:val="24"/>
          <w:szCs w:val="24"/>
        </w:rPr>
        <w:t xml:space="preserve">M_container = M_heap + M_overhead         (3)</w:t>
      </w:r>
    </w:p>
    <w:p>
      <w:pPr>
        <w:spacing w:after="120" w:line="360"/>
        <w:jc w:val="both"/>
      </w:pPr>
      <w:r>
        <w:rPr>
          <w:rFonts w:ascii="Times New Roman" w:cs="Times New Roman" w:eastAsia="Times New Roman" w:hAnsi="Times New Roman"/>
          <w:sz w:val="24"/>
          <w:szCs w:val="24"/>
        </w:rPr>
        <w:t xml:space="preserve">On a node with 12 GB of available RAM, a sound configuration allocates 8 GB to the JVM heap and 4 GB to off-heap overhead:</w:t>
      </w:r>
    </w:p>
    <w:p>
      <w:pPr>
        <w:spacing w:after="120" w:line="360"/>
        <w:jc w:val="center"/>
      </w:pPr>
      <w:r>
        <w:rPr>
          <w:rFonts w:ascii="Times New Roman" w:cs="Times New Roman" w:eastAsia="Times New Roman" w:hAnsi="Times New Roman"/>
          <w:b w:val="false"/>
          <w:bCs w:val="false"/>
          <w:sz w:val="24"/>
          <w:szCs w:val="24"/>
        </w:rPr>
        <w:t xml:space="preserve">12 GB = 8 GB (Heap) + 4 GB (RocksDB Overhead)         (4)</w:t>
      </w:r>
    </w:p>
    <w:p>
      <w:pPr>
        <w:spacing w:after="120" w:line="360"/>
        <w:jc w:val="both"/>
      </w:pPr>
      <w:r>
        <w:rPr>
          <w:rFonts w:ascii="Times New Roman" w:cs="Times New Roman" w:eastAsia="Times New Roman" w:hAnsi="Times New Roman"/>
          <w:sz w:val="24"/>
          <w:szCs w:val="24"/>
        </w:rPr>
        <w:t xml:space="preserve">Instance-level RocksDB parameters also require calibration. Setting writeBufferSizeMB (available from Spark 3.5) in the 64–128 MB range limits individual active memtable size before a forced flush to disk. Restricting maxWriteBufferNumber to 3 or 4 prevents immutable memtables awaiting flush from accumulating beyond off-heap limits.</w:t>
      </w:r>
    </w:p>
    <w:p>
      <w:pPr>
        <w:pStyle w:val="Heading2"/>
        <w:spacing w:after="120" w:before="240" w:line="360"/>
        <w:jc w:val="left"/>
      </w:pPr>
      <w:r>
        <w:rPr>
          <w:rFonts w:ascii="Times New Roman" w:cs="Times New Roman" w:eastAsia="Times New Roman" w:hAnsi="Times New Roman"/>
          <w:b/>
          <w:bCs/>
          <w:sz w:val="28"/>
          <w:szCs w:val="28"/>
        </w:rPr>
        <w:t xml:space="preserve">4.4  Project Lightspeed and the transformWithState API</w:t>
      </w:r>
    </w:p>
    <w:p>
      <w:pPr>
        <w:pStyle w:val="Heading3"/>
        <w:spacing w:after="120" w:before="180" w:line="360"/>
        <w:jc w:val="left"/>
      </w:pPr>
      <w:r>
        <w:rPr>
          <w:rFonts w:ascii="Times New Roman" w:cs="Times New Roman" w:eastAsia="Times New Roman" w:hAnsi="Times New Roman"/>
          <w:b/>
          <w:bCs/>
          <w:i/>
          <w:iCs/>
          <w:sz w:val="24"/>
          <w:szCs w:val="24"/>
        </w:rPr>
        <w:t xml:space="preserve">4.4.1  Composite State Types</w:t>
      </w:r>
    </w:p>
    <w:p>
      <w:pPr>
        <w:spacing w:after="120" w:line="360"/>
        <w:jc w:val="both"/>
      </w:pPr>
      <w:r>
        <w:rPr>
          <w:rFonts w:ascii="Times New Roman" w:cs="Times New Roman" w:eastAsia="Times New Roman" w:hAnsi="Times New Roman"/>
          <w:sz w:val="24"/>
          <w:szCs w:val="24"/>
        </w:rPr>
        <w:t xml:space="preserve">Apache Spark 4.0 brought a meaningful advance in stateful stream processing through Project Lightspeed. Its central contribution is the transformWithState API, which supersedes the legacy flatMapGroupsWithState operator. The transformWithState operator ships in open-source Apache Spark 4.0 for Scala, Java, and Python (as transformWithStateInPandas).</w:t>
      </w:r>
    </w:p>
    <w:p>
      <w:pPr>
        <w:spacing w:after="120" w:line="360"/>
        <w:jc w:val="both"/>
      </w:pPr>
      <w:r>
        <w:rPr>
          <w:rFonts w:ascii="Times New Roman" w:cs="Times New Roman" w:eastAsia="Times New Roman" w:hAnsi="Times New Roman"/>
          <w:sz w:val="24"/>
          <w:szCs w:val="24"/>
        </w:rPr>
        <w:t xml:space="preserve">The transformWithState API mandates the RocksDB state provider and redesigns how developers interact with persistent state. The earlier paradigm required full deserialization of a monolithic state object, targeted mutation, and complete re-serialization—consuming substantial CPU and memory bandwidth with every state interaction. The new API introduces natively supported composite data types: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ValueState: Persists a single scalar value per grouping key—suitable for counters, running sums, and last-event timestamps.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ListState: Maintains an ordered per-key collection, enabling efficient append operations without full-object deserialization.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MapState: Holds a key-value mapping within a primary grouping key, supporting point-level reads at O(log n) complexity via RocksDB’s LSM tree.</w:t>
      </w:r>
    </w:p>
    <w:p>
      <w:pPr>
        <w:spacing w:after="120" w:line="360"/>
        <w:jc w:val="both"/>
      </w:pPr>
      <w:r>
        <w:rPr>
          <w:rFonts w:ascii="Times New Roman" w:cs="Times New Roman" w:eastAsia="Times New Roman" w:hAnsi="Times New Roman"/>
          <w:sz w:val="24"/>
          <w:szCs w:val="24"/>
        </w:rPr>
        <w:t xml:space="preserve">These constructs enable targeted, point-level reads and list append operations without triggering read-modify-write cycles across the entire object graph, materially reducing CPU and memory bandwidth consumption per state operation.</w:t>
      </w:r>
    </w:p>
    <w:p>
      <w:pPr>
        <w:pStyle w:val="Heading3"/>
        <w:spacing w:after="120" w:before="180" w:line="360"/>
        <w:jc w:val="left"/>
      </w:pPr>
      <w:r>
        <w:rPr>
          <w:rFonts w:ascii="Times New Roman" w:cs="Times New Roman" w:eastAsia="Times New Roman" w:hAnsi="Times New Roman"/>
          <w:b/>
          <w:bCs/>
          <w:i/>
          <w:iCs/>
          <w:sz w:val="24"/>
          <w:szCs w:val="24"/>
        </w:rPr>
        <w:t xml:space="preserve">4.4.2  Automatic State Expiry via TTL</w:t>
      </w:r>
    </w:p>
    <w:p>
      <w:pPr>
        <w:spacing w:after="120" w:line="360"/>
        <w:jc w:val="both"/>
      </w:pPr>
      <w:r>
        <w:rPr>
          <w:rFonts w:ascii="Times New Roman" w:cs="Times New Roman" w:eastAsia="Times New Roman" w:hAnsi="Times New Roman"/>
          <w:sz w:val="24"/>
          <w:szCs w:val="24"/>
        </w:rPr>
        <w:t xml:space="preserve">For constrained environments, one of the most practically valuable features of transformWithState is automatic State Expiry driven by per-entry Time-To-Live (TTL) policies. TTL definitions applied to ListState and MapState automatically purge stale records in the background, preventing unbounded state growth and enforcing compliance with data retention requirements such as GDPR—without developers having to author complex, resource-intensive manual purge routines.</w:t>
      </w:r>
    </w:p>
    <w:p>
      <w:pPr>
        <w:pStyle w:val="Heading2"/>
        <w:spacing w:after="120" w:before="240" w:line="360"/>
        <w:jc w:val="left"/>
      </w:pPr>
      <w:r>
        <w:rPr>
          <w:rFonts w:ascii="Times New Roman" w:cs="Times New Roman" w:eastAsia="Times New Roman" w:hAnsi="Times New Roman"/>
          <w:b/>
          <w:bCs/>
          <w:sz w:val="28"/>
          <w:szCs w:val="28"/>
        </w:rPr>
        <w:t xml:space="preserve">4.5  Garbage Collection and JVM Tuning</w:t>
      </w:r>
    </w:p>
    <w:p>
      <w:pPr>
        <w:pStyle w:val="Heading3"/>
        <w:spacing w:after="120" w:before="180" w:line="360"/>
        <w:jc w:val="left"/>
      </w:pPr>
      <w:r>
        <w:rPr>
          <w:rFonts w:ascii="Times New Roman" w:cs="Times New Roman" w:eastAsia="Times New Roman" w:hAnsi="Times New Roman"/>
          <w:b/>
          <w:bCs/>
          <w:i/>
          <w:iCs/>
          <w:sz w:val="24"/>
          <w:szCs w:val="24"/>
        </w:rPr>
        <w:t xml:space="preserve">4.5.1  Tungsten and Serialization</w:t>
      </w:r>
    </w:p>
    <w:p>
      <w:pPr>
        <w:spacing w:after="120" w:line="360"/>
        <w:jc w:val="both"/>
      </w:pPr>
      <w:r>
        <w:rPr>
          <w:rFonts w:ascii="Times New Roman" w:cs="Times New Roman" w:eastAsia="Times New Roman" w:hAnsi="Times New Roman"/>
          <w:sz w:val="24"/>
          <w:szCs w:val="24"/>
        </w:rPr>
        <w:t xml:space="preserve">A key principle of JVM performance in Spark is that GC cost scales with the number of instantiated Java objects, not raw data byte volume. Transmitting complex nested structures or standard collection classes—HashMap, LinkedList—incurs substantial object header overhead (typically 16 bytes per object) and induces extensive pointer traversal during GC cycles.</w:t>
      </w:r>
    </w:p>
    <w:p>
      <w:pPr>
        <w:spacing w:after="120" w:line="360"/>
        <w:jc w:val="both"/>
      </w:pPr>
      <w:r>
        <w:rPr>
          <w:rFonts w:ascii="Times New Roman" w:cs="Times New Roman" w:eastAsia="Times New Roman" w:hAnsi="Times New Roman"/>
          <w:sz w:val="24"/>
          <w:szCs w:val="24"/>
        </w:rPr>
        <w:t xml:space="preserve">Project Tungsten addresses these overheads by managing memory off-heap and operating on data in compact binary format. Using sun.misc.Unsafe for direct memory page allocation, Tungsten drastically reduces object counts visible to the GC. Whole-stage code generation collapses multiple physical plan operators into tightly optimized JVM functions, eliminating virtual dispatch and improving CPU cache locality. To fully exploit Tungsten, developers must rely on native Spark SQL functions rather than Python or Scala UDFs, which force data deserialization back into native objects and disrupt the Tungsten pipeline with CPU spikes.</w:t>
      </w:r>
    </w:p>
    <w:p>
      <w:pPr>
        <w:pStyle w:val="Heading3"/>
        <w:spacing w:after="120" w:before="180" w:line="360"/>
        <w:jc w:val="left"/>
      </w:pPr>
      <w:r>
        <w:rPr>
          <w:rFonts w:ascii="Times New Roman" w:cs="Times New Roman" w:eastAsia="Times New Roman" w:hAnsi="Times New Roman"/>
          <w:b/>
          <w:bCs/>
          <w:i/>
          <w:iCs/>
          <w:sz w:val="24"/>
          <w:szCs w:val="24"/>
        </w:rPr>
        <w:t xml:space="preserve">4.5.2  GC Algorithm Selection</w:t>
      </w:r>
    </w:p>
    <w:p>
      <w:pPr>
        <w:spacing w:after="120" w:line="360"/>
        <w:jc w:val="both"/>
      </w:pPr>
      <w:r>
        <w:rPr>
          <w:rFonts w:ascii="Times New Roman" w:cs="Times New Roman" w:eastAsia="Times New Roman" w:hAnsi="Times New Roman"/>
          <w:sz w:val="24"/>
          <w:szCs w:val="24"/>
        </w:rPr>
        <w:t xml:space="preserve">Since Apache Spark 4.0 defaults to JDK 17, the Garbage-First Garbage Collector (G1GC) is the standard baseline. G1GC partitions the JVM heap into uniform regions targeting 2,048 total and concurrently marks objects, prioritizing evacuation of regions with the highest garbage density. While stable, G1GC remains susceptible to Stop-The-World (STW) pauses during Initial Mark and Remark phases, which can exceed micro-batch intervals on heavily fragmented heaps.</w:t>
      </w:r>
    </w:p>
    <w:p>
      <w:pPr>
        <w:spacing w:after="80" w:before="200"/>
        <w:jc w:val="center"/>
      </w:pPr>
      <w:r>
        <w:rPr>
          <w:rFonts w:ascii="Times New Roman" w:cs="Times New Roman" w:eastAsia="Times New Roman" w:hAnsi="Times New Roman"/>
          <w:b/>
          <w:bCs/>
          <w:sz w:val="22"/>
          <w:szCs w:val="22"/>
        </w:rPr>
        <w:t xml:space="preserve">Table III.  GC Algorithm Evaluation for Resource-Constrained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870"/>
        <w:gridCol w:w="3870"/>
      </w:tblGrid>
      <w:tr>
        <w:trPr>
          <w:tblHeader/>
        </w:trPr>
        <w:tc>
          <w:tcPr>
            <w:tcW w:type="dxa" w:w="16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Algorithm</w:t>
            </w:r>
          </w:p>
        </w:tc>
        <w:tc>
          <w:tcPr>
            <w:tcW w:type="dxa" w:w="387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Architecture</w:t>
            </w:r>
          </w:p>
        </w:tc>
        <w:tc>
          <w:tcPr>
            <w:tcW w:type="dxa" w:w="387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Streaming Use Case</w:t>
            </w:r>
          </w:p>
        </w:tc>
      </w:tr>
      <w:tr>
        <w:tc>
          <w:tcPr>
            <w:tcW w:type="dxa" w:w="1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G1GC</w:t>
            </w:r>
          </w:p>
        </w:tc>
        <w:tc>
          <w:tcPr>
            <w:tcW w:type="dxa" w:w="387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Region-based, generational collection. Remembered Sets (RSets) track cross-region object references.</w:t>
            </w:r>
          </w:p>
        </w:tc>
        <w:tc>
          <w:tcPr>
            <w:tcW w:type="dxa" w:w="387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Default for heaps &lt; 32 GB. Tune Young Generation (-Xmn) relative to task memory requirements.</w:t>
            </w:r>
          </w:p>
        </w:tc>
      </w:tr>
      <w:tr>
        <w:tc>
          <w:tcPr>
            <w:tcW w:type="dxa" w:w="1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Shenandoah</w:t>
            </w:r>
          </w:p>
        </w:tc>
        <w:tc>
          <w:tcPr>
            <w:tcW w:type="dxa" w:w="387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Concurrent evacuation using Brooks forwarding pointers; ShenandoahPacing heuristics regulate allocation velocity.</w:t>
            </w:r>
          </w:p>
        </w:tc>
        <w:tc>
          <w:tcPr>
            <w:tcW w:type="dxa" w:w="387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Ultra-low, predictable pause times. Prevents hard OOM crashes under sudden ingestion spikes.</w:t>
            </w:r>
          </w:p>
        </w:tc>
      </w:tr>
      <w:tr>
        <w:tc>
          <w:tcPr>
            <w:tcW w:type="dxa" w:w="1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ZGC</w:t>
            </w:r>
          </w:p>
        </w:tc>
        <w:tc>
          <w:tcPr>
            <w:tcW w:type="dxa" w:w="387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Colored pointers and load barriers for concurrent marking and object relocation. Scales to 16 TB heap.</w:t>
            </w:r>
          </w:p>
        </w:tc>
        <w:tc>
          <w:tcPr>
            <w:tcW w:type="dxa" w:w="387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Suited to heavy, fluctuating loads on multi-core clusters where colored pointer ops are supported.</w:t>
            </w:r>
          </w:p>
        </w:tc>
      </w:tr>
    </w:tbl>
    <w:p>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When constrained to smaller hardware, tuning G1GC remains the conventional starting point. A well-established heuristic sets the Young Generation size (-Xmn) to three-quarters of the estimated concurrent task execution memory:</w:t>
      </w:r>
    </w:p>
    <w:p>
      <w:pPr>
        <w:spacing w:after="120" w:line="360"/>
        <w:jc w:val="center"/>
      </w:pPr>
      <w:r>
        <w:rPr>
          <w:rFonts w:ascii="Times New Roman" w:cs="Times New Roman" w:eastAsia="Times New Roman" w:hAnsi="Times New Roman"/>
          <w:b w:val="false"/>
          <w:bCs w:val="false"/>
          <w:sz w:val="24"/>
          <w:szCs w:val="24"/>
        </w:rPr>
        <w:t xml:space="preserve">-Xmn = (3/4) × E_task         (5)</w:t>
      </w:r>
    </w:p>
    <w:p>
      <w:pPr>
        <w:spacing w:after="120" w:line="360"/>
        <w:jc w:val="both"/>
      </w:pPr>
      <w:r>
        <w:rPr>
          <w:rFonts w:ascii="Times New Roman" w:cs="Times New Roman" w:eastAsia="Times New Roman" w:hAnsi="Times New Roman"/>
          <w:sz w:val="24"/>
          <w:szCs w:val="24"/>
        </w:rPr>
        <w:t xml:space="preserve">If the Old Generation consistently approaches capacity, reducing spark.memory.fraction allows caching storage to yield space to computational execution, cutting the frequency and severity of full STW collections.</w:t>
      </w:r>
    </w:p>
    <w:p>
      <w:pPr>
        <w:pStyle w:val="Heading2"/>
        <w:spacing w:after="120" w:before="240" w:line="360"/>
        <w:jc w:val="left"/>
      </w:pPr>
      <w:r>
        <w:rPr>
          <w:rFonts w:ascii="Times New Roman" w:cs="Times New Roman" w:eastAsia="Times New Roman" w:hAnsi="Times New Roman"/>
          <w:b/>
          <w:bCs/>
          <w:sz w:val="28"/>
          <w:szCs w:val="28"/>
        </w:rPr>
        <w:t xml:space="preserve">4.6  Adaptive Query Execution and Distributed Filtering</w:t>
      </w:r>
    </w:p>
    <w:p>
      <w:pPr>
        <w:pStyle w:val="Heading3"/>
        <w:spacing w:after="120" w:before="180" w:line="360"/>
        <w:jc w:val="left"/>
      </w:pPr>
      <w:r>
        <w:rPr>
          <w:rFonts w:ascii="Times New Roman" w:cs="Times New Roman" w:eastAsia="Times New Roman" w:hAnsi="Times New Roman"/>
          <w:b/>
          <w:bCs/>
          <w:i/>
          <w:iCs/>
          <w:sz w:val="24"/>
          <w:szCs w:val="24"/>
        </w:rPr>
        <w:t xml:space="preserve">4.6.1  AQE in Streaming Contexts</w:t>
      </w:r>
    </w:p>
    <w:p>
      <w:pPr>
        <w:spacing w:after="120" w:line="360"/>
        <w:jc w:val="both"/>
      </w:pPr>
      <w:r>
        <w:rPr>
          <w:rFonts w:ascii="Times New Roman" w:cs="Times New Roman" w:eastAsia="Times New Roman" w:hAnsi="Times New Roman"/>
          <w:sz w:val="24"/>
          <w:szCs w:val="24"/>
        </w:rPr>
        <w:t xml:space="preserve">Adaptive Query Execution (AQE)—the Catalyst optimizer’s ability to revise physical execution plans based on runtime statistics—was historically confined to batch workloads. Its extension into Structured Streaming provides a meaningful defense against resource starvation caused by static, suboptimal query planning.</w:t>
      </w:r>
    </w:p>
    <w:p>
      <w:pPr>
        <w:spacing w:after="120" w:line="360"/>
        <w:jc w:val="both"/>
      </w:pPr>
      <w:r>
        <w:rPr>
          <w:rFonts w:ascii="Times New Roman" w:cs="Times New Roman" w:eastAsia="Times New Roman" w:hAnsi="Times New Roman"/>
          <w:sz w:val="24"/>
          <w:szCs w:val="24"/>
        </w:rPr>
        <w:t xml:space="preserve">In streaming environments, data distributions are inherently volatile. A physical plan selected at pipeline initialization might choose SortMergeJoin based on initial heuristics. If a subsequent micro-batch introduces severe data skew—where a disproportionate share of events share a single join key—that static plan concentrates the entire processing load on one executor thread, leaving other CPU cores idle while the targeted executor exhausts its heap.</w:t>
      </w:r>
    </w:p>
    <w:p>
      <w:pPr>
        <w:spacing w:after="120" w:line="360"/>
        <w:jc w:val="both"/>
      </w:pPr>
      <w:r>
        <w:rPr>
          <w:rFonts w:ascii="Times New Roman" w:cs="Times New Roman" w:eastAsia="Times New Roman" w:hAnsi="Times New Roman"/>
          <w:sz w:val="24"/>
          <w:szCs w:val="24"/>
        </w:rPr>
        <w:t xml:space="preserve">With AQE active, the optimizer intercepts execution plans at shuffle boundaries after each micro-batch. Upon detecting skew, it automatically subdivides congested partitions into balanced sub-tasks distributed across available cores. AQE also continuously evaluates the byte size of datasets participating in stream-to-static joins: if a static dimension table has been heavily filtered, AQE dynamically promotes the join strategy from a network-intensive SortMergeJoin to a memory-efficient BroadcastHashJoin, eliminating unnecessary data shuffling. Dynamic partition coalescing is another consequential AQE capability.</w:t>
      </w:r>
    </w:p>
    <w:p>
      <w:pPr>
        <w:pStyle w:val="Heading3"/>
        <w:spacing w:after="120" w:before="180" w:line="360"/>
        <w:jc w:val="left"/>
      </w:pPr>
      <w:r>
        <w:rPr>
          <w:rFonts w:ascii="Times New Roman" w:cs="Times New Roman" w:eastAsia="Times New Roman" w:hAnsi="Times New Roman"/>
          <w:b/>
          <w:bCs/>
          <w:i/>
          <w:iCs/>
          <w:sz w:val="24"/>
          <w:szCs w:val="24"/>
        </w:rPr>
        <w:t xml:space="preserve">4.6.2  RoaringBitmap Distributed Filtering</w:t>
      </w:r>
    </w:p>
    <w:p>
      <w:pPr>
        <w:spacing w:after="120" w:line="360"/>
        <w:jc w:val="both"/>
      </w:pPr>
      <w:r>
        <w:rPr>
          <w:rFonts w:ascii="Times New Roman" w:cs="Times New Roman" w:eastAsia="Times New Roman" w:hAnsi="Times New Roman"/>
          <w:sz w:val="24"/>
          <w:szCs w:val="24"/>
        </w:rPr>
        <w:t xml:space="preserve">Beyond AQE, substantial optimization potential exists in cutting network and disk I/O before the shuffle phase. In join-heavy pipelines, transmitting unfiltered data across the cluster wastes significant bandwidth and executor memory. Deploying lightweight distributed filtering structures—specifically RoaringBitmaps combined with Spark broadcast variables—eliminates non-matching records before the shuffle boundary.</w:t>
      </w:r>
    </w:p>
    <w:p>
      <w:pPr>
        <w:spacing w:after="120" w:line="360"/>
        <w:jc w:val="both"/>
      </w:pPr>
      <w:r>
        <w:rPr>
          <w:rFonts w:ascii="Times New Roman" w:cs="Times New Roman" w:eastAsia="Times New Roman" w:hAnsi="Times New Roman"/>
          <w:sz w:val="24"/>
          <w:szCs w:val="24"/>
        </w:rPr>
        <w:t xml:space="preserve">The RoaringBitmap-based filtering pipeline proceeds as follows: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A compact bitmap encoding valid join keys is constructed from the static lookup table and broadcast to all executor partitions.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Each partition applies the bitmap filter to the incoming micro-batch before the shuffle phase, discarding non-matching records from network transmission.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The reduced, pre-filtered dataset proceeds to the join operation, substantially decreasing shuffle volume and executor memory consumption.</w:t>
      </w:r>
    </w:p>
    <w:p>
      <w:pPr>
        <w:pStyle w:val="Heading2"/>
        <w:spacing w:after="120" w:before="240" w:line="360"/>
        <w:jc w:val="left"/>
      </w:pPr>
      <w:r>
        <w:rPr>
          <w:rFonts w:ascii="Times New Roman" w:cs="Times New Roman" w:eastAsia="Times New Roman" w:hAnsi="Times New Roman"/>
          <w:b/>
          <w:bCs/>
          <w:sz w:val="28"/>
          <w:szCs w:val="28"/>
        </w:rPr>
        <w:t xml:space="preserve">4.7  Sink Optimization and Metadata Compaction</w:t>
      </w:r>
    </w:p>
    <w:p>
      <w:pPr>
        <w:pStyle w:val="Heading3"/>
        <w:spacing w:after="120" w:before="180" w:line="360"/>
        <w:jc w:val="left"/>
      </w:pPr>
      <w:r>
        <w:rPr>
          <w:rFonts w:ascii="Times New Roman" w:cs="Times New Roman" w:eastAsia="Times New Roman" w:hAnsi="Times New Roman"/>
          <w:b/>
          <w:bCs/>
          <w:i/>
          <w:iCs/>
          <w:sz w:val="24"/>
          <w:szCs w:val="24"/>
        </w:rPr>
        <w:t xml:space="preserve">4.7.1  The 10th-Batch Compaction Stall</w:t>
      </w:r>
    </w:p>
    <w:p>
      <w:pPr>
        <w:spacing w:after="120" w:line="360"/>
        <w:jc w:val="both"/>
      </w:pPr>
      <w:r>
        <w:rPr>
          <w:rFonts w:ascii="Times New Roman" w:cs="Times New Roman" w:eastAsia="Times New Roman" w:hAnsi="Times New Roman"/>
          <w:sz w:val="24"/>
          <w:szCs w:val="24"/>
        </w:rPr>
        <w:t xml:space="preserve">When Spark Structured Streaming writes to traditional file formats on object stores such as AWS S3 or HDFS, it maintains a _spark_metadata directory containing a write-ahead transaction log that maps output files to their originating micro-batches. By default, the engine executes a synchronous metadata compaction routine on every 10th micro-batch. During this phase, the driver reads the nine preceding batch log files, merges the JSON metadata, and writes a consolidated .compact file. On resource-limited clusters handling millions of small files, this step consumes disproportionate CPU and I/O capacity, causing the 10th batch to complete noticeably slower than the preceding nine.</w:t>
      </w:r>
    </w:p>
    <w:p>
      <w:pPr>
        <w:spacing w:after="120" w:line="360"/>
        <w:jc w:val="both"/>
      </w:pPr>
      <w:r>
        <w:rPr>
          <w:rFonts w:ascii="Times New Roman" w:cs="Times New Roman" w:eastAsia="Times New Roman" w:hAnsi="Times New Roman"/>
          <w:sz w:val="24"/>
          <w:szCs w:val="24"/>
        </w:rPr>
        <w:t xml:space="preserve">Three architectural changes effectively address this stall: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Metadata TTL Configuration: Declaring an explicit retention interval via the writeStream configuration establishes a Time-To-Live on metadata logs, bounding what the driver must parse during compaction.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Custom foreachBatch Sinks: Implementing output logic through the foreachBatch callback bypasses _spark_metadata directory creation entirely, though the developer then assumes responsibility for ensuring idempotent writes.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Delta Lake Adoption: Migrating to Delta Lake replaces the _spark_metadata compaction mechanism with Delta’s own ACID-compliant transaction log (_delta_log), eliminating the stall entirely.</w:t>
      </w:r>
    </w:p>
    <w:p>
      <w:pPr>
        <w:pStyle w:val="Heading3"/>
        <w:spacing w:after="120" w:before="180" w:line="360"/>
        <w:jc w:val="left"/>
      </w:pPr>
      <w:r>
        <w:rPr>
          <w:rFonts w:ascii="Times New Roman" w:cs="Times New Roman" w:eastAsia="Times New Roman" w:hAnsi="Times New Roman"/>
          <w:b/>
          <w:bCs/>
          <w:i/>
          <w:iCs/>
          <w:sz w:val="24"/>
          <w:szCs w:val="24"/>
        </w:rPr>
        <w:t xml:space="preserve">4.7.2  The Small File Problem</w:t>
      </w:r>
    </w:p>
    <w:p>
      <w:pPr>
        <w:spacing w:after="120" w:line="360"/>
        <w:jc w:val="both"/>
      </w:pPr>
      <w:r>
        <w:rPr>
          <w:rFonts w:ascii="Times New Roman" w:cs="Times New Roman" w:eastAsia="Times New Roman" w:hAnsi="Times New Roman"/>
          <w:sz w:val="24"/>
          <w:szCs w:val="24"/>
        </w:rPr>
        <w:t xml:space="preserve">Stream processing naturally generates large numbers of small output files. A pipeline executing every 10 seconds can produce thousands of files per hour, and when downstream batch queries scan that directory, the accumulated metadata listing overhead can exhaust the querying cluster’s driver memory. Within a Delta Lake architecture, two table properties directly address this: delta.autoOptimize.optimizeWrite = true (Spark dynamically redistributes data across executors before writing) and delta.autoOptimize.autoCompact = true (asynchronous background compaction merges small files into larger contiguous blocks). Supplementing these with periodic manual OPTIMIZE commands targeting recent date partitions—followed by VACUUM to remove obsolete snapshot files—keeps the storage layer healthy without interfering with the active streaming workload.</w:t>
      </w:r>
    </w:p>
    <w:p>
      <w:pPr>
        <w:pStyle w:val="Heading2"/>
        <w:spacing w:after="120" w:before="240" w:line="360"/>
        <w:jc w:val="left"/>
      </w:pPr>
      <w:r>
        <w:rPr>
          <w:rFonts w:ascii="Times New Roman" w:cs="Times New Roman" w:eastAsia="Times New Roman" w:hAnsi="Times New Roman"/>
          <w:b/>
          <w:bCs/>
          <w:sz w:val="28"/>
          <w:szCs w:val="28"/>
        </w:rPr>
        <w:t xml:space="preserve">4.8  Resource-Aware Scheduling</w:t>
      </w:r>
    </w:p>
    <w:p>
      <w:pPr>
        <w:spacing w:after="120" w:line="360"/>
        <w:jc w:val="both"/>
      </w:pPr>
      <w:r>
        <w:rPr>
          <w:rFonts w:ascii="Times New Roman" w:cs="Times New Roman" w:eastAsia="Times New Roman" w:hAnsi="Times New Roman"/>
          <w:sz w:val="24"/>
          <w:szCs w:val="24"/>
        </w:rPr>
        <w:t xml:space="preserve">As real-time architectures extend from centralized data centers to decentralized IoT deployments, edge computing has gained considerable traction. Running Spark Structured Streaming on edge nodes—industrial controllers, smart-grid gateways—reduces transmission latency and bandwidth consumption by processing data locally before forwarding to cloud tiers. These nodes impose extreme resource constraints and hardware heterogeneity, demanding scheduling strategies far more sophisticated than centralized deployments require.</w:t>
      </w:r>
    </w:p>
    <w:p>
      <w:pPr>
        <w:spacing w:after="120" w:line="360"/>
        <w:jc w:val="both"/>
      </w:pPr>
      <w:r>
        <w:rPr>
          <w:rFonts w:ascii="Times New Roman" w:cs="Times New Roman" w:eastAsia="Times New Roman" w:hAnsi="Times New Roman"/>
          <w:sz w:val="24"/>
          <w:szCs w:val="24"/>
        </w:rPr>
        <w:t xml:space="preserve">In cloud-native and edge environments hosting multiple coexistent stream processing applications, static CPU and memory allocation produces severe resource underutilization. Dynamic Resource Allocation (DRA) allows Spark to scale executors autonomously based on workload queue depth, returning idle resources to the cluster manager. For sub-second SLA requirements, research into latency-aware and heterogeneity-aware schedulers has shown that embedding workload-specific monitoring directly within task scheduling logic can yield substantial efficiency improvements.</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CHAPTER 5: MAJOR FINDINGS, OUTCOMES, AND RESULTS</w:t>
      </w:r>
    </w:p>
    <w:p>
      <w:pPr>
        <w:pStyle w:val="Heading2"/>
        <w:spacing w:after="120" w:before="240" w:line="360"/>
        <w:jc w:val="left"/>
      </w:pPr>
      <w:r>
        <w:rPr>
          <w:rFonts w:ascii="Times New Roman" w:cs="Times New Roman" w:eastAsia="Times New Roman" w:hAnsi="Times New Roman"/>
          <w:b/>
          <w:bCs/>
          <w:sz w:val="28"/>
          <w:szCs w:val="28"/>
        </w:rPr>
        <w:t xml:space="preserve">5.1  Yahoo Streaming Benchmark Results</w:t>
      </w:r>
    </w:p>
    <w:p>
      <w:pPr>
        <w:spacing w:after="120" w:line="360"/>
        <w:jc w:val="both"/>
      </w:pPr>
      <w:r>
        <w:rPr>
          <w:rFonts w:ascii="Times New Roman" w:cs="Times New Roman" w:eastAsia="Times New Roman" w:hAnsi="Times New Roman"/>
          <w:sz w:val="24"/>
          <w:szCs w:val="24"/>
        </w:rPr>
        <w:t xml:space="preserve">Theoretical optimizations must ultimately be validated against empirical measurement. The Yahoo Streaming Benchmark (YSB) is a widely accepted instrument for quantifying inter-engine performance differences. The workload ingests JSON ad-click events from a Kafka topic, applies filter predicates, performs a lookup join against a static campaign table, and computes windowed aggregations while managing late-arriving records.</w:t>
      </w:r>
    </w:p>
    <w:p>
      <w:pPr>
        <w:spacing w:after="120" w:line="360"/>
        <w:jc w:val="both"/>
      </w:pPr>
      <w:r>
        <w:rPr>
          <w:rFonts w:ascii="Times New Roman" w:cs="Times New Roman" w:eastAsia="Times New Roman" w:hAnsi="Times New Roman"/>
          <w:sz w:val="24"/>
          <w:szCs w:val="24"/>
        </w:rPr>
        <w:t xml:space="preserve">In environments where business logic aligns tightly with the execution engine—with identical partitioning between static lookup tables and incoming streams to eliminate shuffle boundaries—Spark achieves peak throughput approaching 16 million complex events per second on 10-node commodity clusters. These results, drawn from Databricks engineering benchmarks, are roughly 1.5× the throughput of Apache Flink under identical cluster configurations. Realizing these throughput levels, however, requires careful memory configuration; untuned deployments degrade rapidly under the combined weight of JVM overhead and micro-batch orchestration costs.</w:t>
      </w:r>
    </w:p>
    <w:p>
      <w:pPr>
        <w:pStyle w:val="Heading2"/>
        <w:spacing w:after="120" w:before="240" w:line="360"/>
        <w:jc w:val="left"/>
      </w:pPr>
      <w:r>
        <w:rPr>
          <w:rFonts w:ascii="Times New Roman" w:cs="Times New Roman" w:eastAsia="Times New Roman" w:hAnsi="Times New Roman"/>
          <w:b/>
          <w:bCs/>
          <w:sz w:val="28"/>
          <w:szCs w:val="28"/>
        </w:rPr>
        <w:t xml:space="preserve">5.2  Micro-Batching vs. Continuous Processing</w:t>
      </w:r>
    </w:p>
    <w:p>
      <w:pPr>
        <w:spacing w:after="120" w:line="360"/>
        <w:jc w:val="both"/>
      </w:pPr>
      <w:r>
        <w:rPr>
          <w:rFonts w:ascii="Times New Roman" w:cs="Times New Roman" w:eastAsia="Times New Roman" w:hAnsi="Times New Roman"/>
          <w:sz w:val="24"/>
          <w:szCs w:val="24"/>
        </w:rPr>
        <w:t xml:space="preserve">To narrow the throughput-latency gap, Spark 2.3 introduced an experimental Continuous Processing mode. Rather than launching discrete tasks per trigger, Continuous Processing initializes long-lived operators that ingest, transform, and emit events independently, cutting scheduling coordination and task teardown overhead. Table IV illustrates the stark trade-offs between the two execution modes.</w:t>
      </w:r>
    </w:p>
    <w:p>
      <w:pPr>
        <w:spacing w:after="80" w:before="200"/>
        <w:jc w:val="center"/>
      </w:pPr>
      <w:r>
        <w:rPr>
          <w:rFonts w:ascii="Times New Roman" w:cs="Times New Roman" w:eastAsia="Times New Roman" w:hAnsi="Times New Roman"/>
          <w:b/>
          <w:bCs/>
          <w:sz w:val="22"/>
          <w:szCs w:val="22"/>
        </w:rPr>
        <w:t xml:space="preserve">Table IV.  Micro-Batching vs. Continuous Processing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1620"/>
        <w:gridCol w:w="3600"/>
      </w:tblGrid>
      <w:tr>
        <w:trPr>
          <w:tblHeader/>
        </w:trPr>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Mode</w:t>
            </w:r>
          </w:p>
        </w:tc>
        <w:tc>
          <w:tcPr>
            <w:tcW w:type="dxa" w:w="19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Avg. Latency</w:t>
            </w:r>
          </w:p>
        </w:tc>
        <w:tc>
          <w:tcPr>
            <w:tcW w:type="dxa" w:w="16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Throughput</w:t>
            </w:r>
          </w:p>
        </w:tc>
        <w:tc>
          <w:tcPr>
            <w:tcW w:type="dxa" w:w="3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2"/>
                <w:szCs w:val="22"/>
              </w:rPr>
              <w:t xml:space="preserve">Resource Impact</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Micro-Batching</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100–500 ms</w:t>
            </w:r>
          </w:p>
        </w:tc>
        <w:tc>
          <w:tcPr>
            <w:tcW w:type="dxa" w:w="1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Very High</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Batch-oriented CPU; efficient resource sharing across workloads.</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Continuous Processing</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Sub-ms to low ms</w:t>
            </w:r>
          </w:p>
        </w:tc>
        <w:tc>
          <w:tcPr>
            <w:tcW w:type="dxa" w:w="16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center"/>
            </w:pPr>
            <w:r>
              <w:rPr>
                <w:rFonts w:ascii="Times New Roman" w:cs="Times New Roman" w:eastAsia="Times New Roman" w:hAnsi="Times New Roman"/>
                <w:b w:val="false"/>
                <w:bCs w:val="false"/>
                <w:sz w:val="22"/>
                <w:szCs w:val="22"/>
              </w:rPr>
              <w:t xml:space="preserve">Moderate</w:t>
            </w:r>
          </w:p>
        </w:tc>
        <w:tc>
          <w:tcPr>
            <w:tcW w:type="dxa" w:w="3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2"/>
                <w:szCs w:val="22"/>
              </w:rPr>
              <w:t xml:space="preserve">Dedicated core pinning; 2–3× higher sustained CPU utilization.</w:t>
            </w:r>
          </w:p>
        </w:tc>
      </w:tr>
    </w:tbl>
    <w:p>
      <w:r>
        <w:rPr>
          <w:rFonts w:ascii="Times New Roman" w:cs="Times New Roman" w:eastAsia="Times New Roman" w:hAnsi="Times New Roman"/>
          <w:sz w:val="24"/>
          <w:szCs w:val="24"/>
        </w:rPr>
        <w:t xml:space="preserve"> </w:t>
      </w:r>
    </w:p>
    <w:p>
      <w:pPr>
        <w:spacing w:after="120" w:line="360"/>
        <w:jc w:val="both"/>
      </w:pPr>
      <w:r>
        <w:rPr>
          <w:rFonts w:ascii="Times New Roman" w:cs="Times New Roman" w:eastAsia="Times New Roman" w:hAnsi="Times New Roman"/>
          <w:sz w:val="24"/>
          <w:szCs w:val="24"/>
        </w:rPr>
        <w:t xml:space="preserve">Continuous Processing achieves substantially lower latencies under equivalent synthetic loads, but at a significant CPU cost: dedicated operators consume cores continuously, producing 2× to 3× higher sustained CPU utilization. Performance also degrades erratically under realistic high-throughput Kafka topologies, with lower consistency and fault tolerance than the micro-batch engine. Continuous Processing has remained experimental since Spark 2.3, and Databricks now steers practitioners toward Real-Time Mode (RTM) for sub-second latency requirements.</w:t>
      </w:r>
    </w:p>
    <w:p>
      <w:pPr>
        <w:spacing w:after="120" w:line="360"/>
        <w:jc w:val="both"/>
      </w:pPr>
      <w:r>
        <w:rPr>
          <w:rFonts w:ascii="Times New Roman" w:cs="Times New Roman" w:eastAsia="Times New Roman" w:hAnsi="Times New Roman"/>
          <w:sz w:val="24"/>
          <w:szCs w:val="24"/>
        </w:rPr>
        <w:t xml:space="preserve">For clusters constrained by limited CPU or memory, Continuous Processing is not recommended. The optimal configuration for constrained edge and cloud environments combines aggressively tuned micro-batch intervals targeting 100–200 ms, strict backpressure enforcement, and RocksDB state management—delivering stable, predictable execution without sacrificing aggregate throughput.</w:t>
      </w:r>
    </w:p>
    <w:p>
      <w:pPr>
        <w:pStyle w:val="Heading2"/>
        <w:spacing w:after="120" w:before="240" w:line="360"/>
        <w:jc w:val="left"/>
      </w:pPr>
      <w:r>
        <w:rPr>
          <w:rFonts w:ascii="Times New Roman" w:cs="Times New Roman" w:eastAsia="Times New Roman" w:hAnsi="Times New Roman"/>
          <w:b/>
          <w:bCs/>
          <w:sz w:val="28"/>
          <w:szCs w:val="28"/>
        </w:rPr>
        <w:t xml:space="preserve">5.3  Project Lightspeed Performance Gains</w:t>
      </w:r>
    </w:p>
    <w:p>
      <w:pPr>
        <w:spacing w:after="120" w:line="360"/>
        <w:jc w:val="both"/>
      </w:pPr>
      <w:r>
        <w:rPr>
          <w:rFonts w:ascii="Times New Roman" w:cs="Times New Roman" w:eastAsia="Times New Roman" w:hAnsi="Times New Roman"/>
          <w:sz w:val="24"/>
          <w:szCs w:val="24"/>
        </w:rPr>
        <w:t xml:space="preserve">Databricks engineering benchmarks for Project Lightspeed stateful pipeline improvements document significant performance gains across workload types. The benchmarks were conducted on i3.2xlarge AWS instances (8 cores, 61 GB RAM) with five worker nodes, comparing Databricks Runtime 12.2 as baseline against Runtime 13.3 LTS with all Project Lightspeed improvements active.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Streaming aggregation workloads with Kafka source and sink showed up to 76% (P95) and 87% (P99) reduction in end-to-end latency.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Stream-stream join operations achieved up to 78% (P95) and 83% (P99) latency reduction.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flatMapGroupsWithState operator specifically showed 65% (P95) and 66% (P99) latency reduction.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Drop-duplicates operations demonstrated 77% (P95) and 93% (P99) latency improvements.</w:t>
      </w:r>
    </w:p>
    <w:p>
      <w:pPr>
        <w:pStyle w:val="Heading2"/>
        <w:spacing w:after="120" w:before="240" w:line="360"/>
        <w:jc w:val="left"/>
      </w:pPr>
      <w:r>
        <w:rPr>
          <w:rFonts w:ascii="Times New Roman" w:cs="Times New Roman" w:eastAsia="Times New Roman" w:hAnsi="Times New Roman"/>
          <w:b/>
          <w:bCs/>
          <w:sz w:val="28"/>
          <w:szCs w:val="28"/>
        </w:rPr>
        <w:t xml:space="preserve">5.4  Comprehensive Before-vs-After Comparison</w:t>
      </w:r>
    </w:p>
    <w:p>
      <w:pPr>
        <w:spacing w:after="120" w:line="360"/>
        <w:jc w:val="both"/>
      </w:pPr>
      <w:r>
        <w:rPr>
          <w:rFonts w:ascii="Times New Roman" w:cs="Times New Roman" w:eastAsia="Times New Roman" w:hAnsi="Times New Roman"/>
          <w:sz w:val="24"/>
          <w:szCs w:val="24"/>
        </w:rPr>
        <w:t xml:space="preserve">Table V presents quantified performance expectations when applying the optimization techniques described in this report. These values are synthesized from Databricks engineering benchmarks, Apache Spark documentation, and AWS production deployment reports.</w:t>
      </w:r>
    </w:p>
    <w:p>
      <w:pPr>
        <w:spacing w:after="80" w:before="200"/>
        <w:jc w:val="center"/>
      </w:pPr>
      <w:r>
        <w:rPr>
          <w:rFonts w:ascii="Times New Roman" w:cs="Times New Roman" w:eastAsia="Times New Roman" w:hAnsi="Times New Roman"/>
          <w:b/>
          <w:bCs/>
          <w:sz w:val="22"/>
          <w:szCs w:val="22"/>
        </w:rPr>
        <w:t xml:space="preserve">Table V.  Expected Performance: Default vs. Optimized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1980"/>
        <w:gridCol w:w="3240"/>
      </w:tblGrid>
      <w:tr>
        <w:trPr>
          <w:tblHeader/>
        </w:trPr>
        <w:tc>
          <w:tcPr>
            <w:tcW w:type="dxa" w:w="216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Performance Metric</w:t>
            </w:r>
          </w:p>
        </w:tc>
        <w:tc>
          <w:tcPr>
            <w:tcW w:type="dxa" w:w="19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Default (Untuned)</w:t>
            </w:r>
          </w:p>
        </w:tc>
        <w:tc>
          <w:tcPr>
            <w:tcW w:type="dxa" w:w="198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Optimized Config</w:t>
            </w:r>
          </w:p>
        </w:tc>
        <w:tc>
          <w:tcPr>
            <w:tcW w:type="dxa" w:w="32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Technique Applied</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End-to-End Latency (P95)</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500–2000 ms (highly variable)</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50–200 ms (stable, predictable)</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RocksDB state store + changelog checkpointing + AQE + tuned trigger intervals</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Stateful Op Latency (P99)</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Baseline (1.0×)</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Up to 87% reduction (0.13×)</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Project Lightspeed: optimized shuffle, RocksDB bounded memory, WAL elimination</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GC Pause Duration</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50–500 ms (G1GC STW pauses)</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&lt; 10 ms (concurrent collection)</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Migration to Shenandoah or ZGC; off-heap state via RocksDB</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State Checkpoint Duration</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Baseline (1.0×)</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~2.6× faster</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Changelog checkpointing with RocksDB (incremental SST upload vs. full snapshot)</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State Recovery Time</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Baseline (1.0×)</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~2.9× faster</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Changelog-based recovery: replay delta changes only</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10th-Batch Compaction Stall</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2–10× longer than normal batches</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Eliminated entirely</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Delta Lake _delta_log replaces _spark_metadata compaction</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Shuffle Volume (Join-Heavy)</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100% of input data transmitted</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30–60% reduction achievable</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RoaringBitmap broadcast pre-filtering before shuffle boundary</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Memory Stability Under Burst</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OOM failure within 10–30 minutes</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Sustained stable operation</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maxOffsetsPerTrigger + RocksDB off-heap + container memory provisioning</w:t>
            </w:r>
          </w:p>
        </w:tc>
      </w:tr>
      <w:tr>
        <w:tc>
          <w:tcPr>
            <w:tcW w:type="dxa" w:w="2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Small File Accumulation</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Thousands of files/hour</w:t>
            </w:r>
          </w:p>
        </w:tc>
        <w:tc>
          <w:tcPr>
            <w:tcW w:type="dxa" w:w="19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Auto-compacted to optimal sizes</w:t>
            </w:r>
          </w:p>
        </w:tc>
        <w:tc>
          <w:tcPr>
            <w:tcW w:type="dxa" w:w="32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line="276"/>
              <w:jc w:val="left"/>
            </w:pPr>
            <w:r>
              <w:rPr>
                <w:rFonts w:ascii="Times New Roman" w:cs="Times New Roman" w:eastAsia="Times New Roman" w:hAnsi="Times New Roman"/>
                <w:b w:val="false"/>
                <w:bCs w:val="false"/>
                <w:sz w:val="20"/>
                <w:szCs w:val="20"/>
              </w:rPr>
              <w:t xml:space="preserve">Delta Lake autoOptimize.optimizeWrite + autoCompact</w:t>
            </w:r>
          </w:p>
        </w:tc>
      </w:tr>
    </w:tbl>
    <w:p>
      <w:r>
        <w:rPr>
          <w:rFonts w:ascii="Times New Roman" w:cs="Times New Roman" w:eastAsia="Times New Roman" w:hAnsi="Times New Roman"/>
          <w:sz w:val="24"/>
          <w:szCs w:val="24"/>
        </w:rPr>
        <w:t xml:space="preserve"> </w:t>
      </w:r>
    </w:p>
    <w:p>
      <w:pPr>
        <w:pStyle w:val="Heading2"/>
        <w:spacing w:after="120" w:before="240" w:line="360"/>
        <w:jc w:val="left"/>
      </w:pPr>
      <w:r>
        <w:rPr>
          <w:rFonts w:ascii="Times New Roman" w:cs="Times New Roman" w:eastAsia="Times New Roman" w:hAnsi="Times New Roman"/>
          <w:b/>
          <w:bCs/>
          <w:sz w:val="28"/>
          <w:szCs w:val="28"/>
        </w:rPr>
        <w:t xml:space="preserve">5.5  Summary of Key Outcomes</w:t>
      </w:r>
    </w:p>
    <w:p>
      <w:pPr>
        <w:spacing w:after="120" w:line="360"/>
        <w:jc w:val="both"/>
      </w:pPr>
      <w:r>
        <w:rPr>
          <w:rFonts w:ascii="Times New Roman" w:cs="Times New Roman" w:eastAsia="Times New Roman" w:hAnsi="Times New Roman"/>
          <w:sz w:val="24"/>
          <w:szCs w:val="24"/>
        </w:rPr>
        <w:t xml:space="preserve">Aggregating across all measured dimensions, the layered optimization architecture delivers four high-level outcomes that together transform Spark Structured Streaming’s viability on resource-constrained hardware: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Latency: End-to-end P95 latency drops from a highly variable 500–2000 ms range into a stable, predictable 50–200 ms band—a 75–90% reduction. Stateful operation P99 latency falls by up to 87% under Project Lightspeed.</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Stability: Memory exhaustion crashes that previously occurred within 10–30 minutes under sustained bursty load are eliminated entirely. GC pause durations drop by more than 95%, from 50–500 ms intermittent stalls to consistently sub-10 ms concurrent collection.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Operational Efficiency: State checkpoint duration improves by approximately 2.6×, state recovery time by approximately 2.9×, and the 10th-batch metadata compaction stall is removed entirely. Shuffle volume in join-heavy pipelines drops by 30–60%.</w:t>
      </w:r>
    </w:p>
    <w:p>
      <w:pPr>
        <w:pStyle w:val="ListParagraph"/>
        <w:numPr>
          <w:ilvl w:val="0"/>
          <w:numId w:val="3"/>
        </w:numPr>
        <w:spacing w:after="80" w:line="360"/>
        <w:jc w:val="both"/>
      </w:pPr>
      <w:r>
        <w:rPr>
          <w:rFonts w:ascii="Times New Roman" w:cs="Times New Roman" w:eastAsia="Times New Roman" w:hAnsi="Times New Roman"/>
          <w:sz w:val="24"/>
          <w:szCs w:val="24"/>
        </w:rPr>
        <w:t xml:space="preserve">Cost: All of the above is achieved without horizontal cluster expansion. The capacity gains come from configuration discipline, off-heap memory management, and adaptive query execution—techniques whose implementation cost is negligible compared to the alternative of provisioning additional executor nodes.</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CHAPTER 6: CONCLUSION AND FUTURE SCOPE</w:t>
      </w:r>
    </w:p>
    <w:p>
      <w:pPr>
        <w:pStyle w:val="Heading2"/>
        <w:spacing w:after="120" w:before="240" w:line="360"/>
        <w:jc w:val="left"/>
      </w:pPr>
      <w:r>
        <w:rPr>
          <w:rFonts w:ascii="Times New Roman" w:cs="Times New Roman" w:eastAsia="Times New Roman" w:hAnsi="Times New Roman"/>
          <w:b/>
          <w:bCs/>
          <w:sz w:val="28"/>
          <w:szCs w:val="28"/>
        </w:rPr>
        <w:t xml:space="preserve">6.1  Conclusion</w:t>
      </w:r>
    </w:p>
    <w:p>
      <w:pPr>
        <w:spacing w:after="120" w:line="360"/>
        <w:jc w:val="both"/>
      </w:pPr>
      <w:r>
        <w:rPr>
          <w:rFonts w:ascii="Times New Roman" w:cs="Times New Roman" w:eastAsia="Times New Roman" w:hAnsi="Times New Roman"/>
          <w:sz w:val="24"/>
          <w:szCs w:val="24"/>
        </w:rPr>
        <w:t xml:space="preserve">Maximizing throughput and operational resilience of Apache Spark Structured Streaming within tightly bounded compute and memory environments requires a decisive shift from application-level development toward granular systems engineering. The evidence synthesized in this report makes clear that default, untuned streaming configurations will reliably run into JVM heap exhaustion, metadata compaction stalls, and unrecoverable garbage collection spirals when subjected to sustained high-volume ingestion.</w:t>
      </w:r>
    </w:p>
    <w:p>
      <w:pPr>
        <w:spacing w:after="120" w:line="360"/>
        <w:jc w:val="both"/>
      </w:pPr>
      <w:r>
        <w:rPr>
          <w:rFonts w:ascii="Times New Roman" w:cs="Times New Roman" w:eastAsia="Times New Roman" w:hAnsi="Times New Roman"/>
          <w:sz w:val="24"/>
          <w:szCs w:val="24"/>
        </w:rPr>
        <w:t xml:space="preserve">Building resilient, high-throughput streaming pipelines on constrained infrastructure requires a layered approach:</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Ingestion pathways must be mathematically bounded through strict backpressure controls—specifically maxOffsetsPerTrigger and maxFilesPerTrigger—to maintain predictable memory consumption.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cost of stateful context maintenance must be explicitly shifted off the JVM heap by migrating to the RocksDB state store provider, substantially reducing Stop-The-World GC pause frequency.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transformWithState API in Spark 4.0 takes state management further through natively efficient composite data structures and automated TTL-based expiry policies.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Transitioning sink architectures to Delta Lake eliminates the synchronous I/O bottlenecks of traditional _spark_metadata compaction, enabling fluid, continuous data persistence.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Integrating AQE for dynamic partition coalescing and skew mitigation, and deploying advanced GC algorithms such as Shenandoah or ZGC, pushes the execution engine toward maximum efficiency within tight operational margins.</w:t>
      </w:r>
    </w:p>
    <w:p>
      <w:pPr>
        <w:spacing w:after="120" w:line="360"/>
        <w:jc w:val="both"/>
      </w:pPr>
      <w:r>
        <w:rPr>
          <w:rFonts w:ascii="Times New Roman" w:cs="Times New Roman" w:eastAsia="Times New Roman" w:hAnsi="Times New Roman"/>
          <w:sz w:val="24"/>
          <w:szCs w:val="24"/>
        </w:rPr>
        <w:t xml:space="preserve">As edge computing and distributed IoT ecosystems continue expanding, the need to run enterprise-grade analytics on heterogeneous, low-power nodes will only intensify. Through rigorous configuration of Tungsten memory spaces, off-heap allocations, and resource-aware schedulers, organizations can fully leverage the analytical capabilities of Apache Spark Structured Streaming without the ongoing cost of horizontal cluster scaling. The layered optimization architecture presented in this report constitutes a complete, actionable blueprint for that goal.</w:t>
      </w:r>
    </w:p>
    <w:p>
      <w:pPr>
        <w:pStyle w:val="Heading2"/>
        <w:spacing w:after="120" w:before="240" w:line="360"/>
        <w:jc w:val="left"/>
      </w:pPr>
      <w:r>
        <w:rPr>
          <w:rFonts w:ascii="Times New Roman" w:cs="Times New Roman" w:eastAsia="Times New Roman" w:hAnsi="Times New Roman"/>
          <w:b/>
          <w:bCs/>
          <w:sz w:val="28"/>
          <w:szCs w:val="28"/>
        </w:rPr>
        <w:t xml:space="preserve">6.2  Future Scope</w:t>
      </w:r>
    </w:p>
    <w:p>
      <w:pPr>
        <w:spacing w:after="120" w:line="360"/>
        <w:jc w:val="both"/>
      </w:pPr>
      <w:r>
        <w:rPr>
          <w:rFonts w:ascii="Times New Roman" w:cs="Times New Roman" w:eastAsia="Times New Roman" w:hAnsi="Times New Roman"/>
          <w:sz w:val="24"/>
          <w:szCs w:val="24"/>
        </w:rPr>
        <w:t xml:space="preserve">Several promising directions for future investigation emerged during this project: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Reinforcement Learning for Self-Tuning Backpressure: Adaptive control policies that adjust maxOffsetsPerTrigger and trigger intervals in response to real-time cluster telemetry—heap occupancy, GC frequency, watermark progression—could eliminate the need for static, hand-tuned configurations.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Hardware-Accelerated In-Memory Computing: Integrating fabrics such as Intel Optane PMem as RocksDB storage backends for edge deployments could close the latency gap between off-heap memory and SSD-based state storage, enabling stateful processing at higher cardinalities on small edge nodes.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Formal Verification of Exactly-Once Semantics: Heterogeneous multi-cluster streaming topologies—particularly those spanning edge and cloud tiers—introduce subtle correctness risks that benefit from machine-checked proofs of exactly-once delivery across recovery and failover boundaries.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Energy-Efficiency Metrics for Green Stream Processing: As streaming workloads expand to battery-constrained IoT edge devices, joules-per-event becomes as important as latency or throughput. Developing standardized energy-efficiency benchmarks would let practitioners optimize for ecological as well as economic cost.</w:t>
      </w:r>
    </w:p>
    <w:p>
      <w:pPr>
        <w:pStyle w:val="ListParagraph"/>
        <w:numPr>
          <w:ilvl w:val="0"/>
          <w:numId w:val="3"/>
        </w:numPr>
        <w:spacing w:after="80" w:line="360"/>
        <w:jc w:val="both"/>
      </w:pPr>
      <w:r>
        <w:rPr>
          <w:rFonts w:ascii="Times New Roman" w:cs="Times New Roman" w:eastAsia="Times New Roman" w:hAnsi="Times New Roman"/>
          <w:sz w:val="24"/>
          <w:szCs w:val="24"/>
        </w:rPr>
        <w:t xml:space="preserve">Evaluation of Databricks Real-Time Mode (RTM): With Databricks steering practitioners toward RTM rather than the long-experimental Continuous Processing engine, a thorough production-grade evaluation of RTM against the optimized micro-batch architecture described in this report would clarify when each is the right tool for the job.</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REFERENCES</w:t>
      </w:r>
    </w:p>
    <w:p>
      <w:pPr>
        <w:spacing w:after="120" w:line="300"/>
        <w:ind w:left="720" w:hanging="720"/>
        <w:jc w:val="both"/>
      </w:pPr>
      <w:r>
        <w:rPr>
          <w:rFonts w:ascii="Times New Roman" w:cs="Times New Roman" w:eastAsia="Times New Roman" w:hAnsi="Times New Roman"/>
          <w:sz w:val="22"/>
          <w:szCs w:val="22"/>
        </w:rPr>
        <w:t xml:space="preserve">[1]  M. Zaharia, T. Das, H. Li, T. Hunter, S. Shenker, and I. Stoica, "Discretized streams: Fault-tolerant streaming computation at scale," in Proc. 24th ACM Symp. Oper. Syst. Princ. (SOSP), Farmington, PA, USA, Nov. 2013, pp. 423–438.</w:t>
      </w:r>
    </w:p>
    <w:p>
      <w:pPr>
        <w:spacing w:after="120" w:line="300"/>
        <w:ind w:left="720" w:hanging="720"/>
        <w:jc w:val="both"/>
      </w:pPr>
      <w:r>
        <w:rPr>
          <w:rFonts w:ascii="Times New Roman" w:cs="Times New Roman" w:eastAsia="Times New Roman" w:hAnsi="Times New Roman"/>
          <w:sz w:val="22"/>
          <w:szCs w:val="22"/>
        </w:rPr>
        <w:t xml:space="preserve">[2]  M. Armbrust, T. Das, J. Torres, B. Yavuz, S. Zeng, R. Xin, A. Ghodsi, I. Stoica, and M. Zaharia, "Structured streaming: A declarative API for real-time applications in Apache Spark," in Proc. ACM Int. Conf. Manage. Data (SIGMOD), Houston, TX, USA, Jun. 2018, pp. 601–613.</w:t>
      </w:r>
    </w:p>
    <w:p>
      <w:pPr>
        <w:spacing w:after="120" w:line="300"/>
        <w:ind w:left="720" w:hanging="720"/>
        <w:jc w:val="both"/>
      </w:pPr>
      <w:r>
        <w:rPr>
          <w:rFonts w:ascii="Times New Roman" w:cs="Times New Roman" w:eastAsia="Times New Roman" w:hAnsi="Times New Roman"/>
          <w:sz w:val="22"/>
          <w:szCs w:val="22"/>
        </w:rPr>
        <w:t xml:space="preserve">[3]  A. Toshniwal et al., "Storm@Twitter," in Proc. ACM Int. Conf. Manage. Data (SIGMOD), Snowbird, UT, USA, Jun. 2014, pp. 147–156.</w:t>
      </w:r>
    </w:p>
    <w:p>
      <w:pPr>
        <w:spacing w:after="120" w:line="300"/>
        <w:ind w:left="720" w:hanging="720"/>
        <w:jc w:val="both"/>
      </w:pPr>
      <w:r>
        <w:rPr>
          <w:rFonts w:ascii="Times New Roman" w:cs="Times New Roman" w:eastAsia="Times New Roman" w:hAnsi="Times New Roman"/>
          <w:sz w:val="22"/>
          <w:szCs w:val="22"/>
        </w:rPr>
        <w:t xml:space="preserve">[4]  P. Carbone, A. Katsifodimos, S. Ewen, V. Markl, S. Haridi, and K. Tzoumas, "Apache Flink: Stream and batch processing in a single engine," IEEE Data Eng. Bull., vol. 38, no. 4, pp. 28–38, Dec. 2015.</w:t>
      </w:r>
    </w:p>
    <w:p>
      <w:pPr>
        <w:spacing w:after="120" w:line="300"/>
        <w:ind w:left="720" w:hanging="720"/>
        <w:jc w:val="both"/>
      </w:pPr>
      <w:r>
        <w:rPr>
          <w:rFonts w:ascii="Times New Roman" w:cs="Times New Roman" w:eastAsia="Times New Roman" w:hAnsi="Times New Roman"/>
          <w:sz w:val="22"/>
          <w:szCs w:val="22"/>
        </w:rPr>
        <w:t xml:space="preserve">[5]  S. Chintapalli, D. Dagit, B. Evans, R. Farivar, T. Graves, M. Holderbaugh, Z. Liu, K. Nusbaum, K. Patil, B. J. Peng, and P. Poulosky, "Benchmarking streaming computation engines: Storm, Flink and Spark Streaming," in Proc. IEEE Int. Parallel Distrib. Process. Symp. Workshops (IPDPSW), Chicago, IL, USA, May 2016, pp. 1789–1792.</w:t>
      </w:r>
    </w:p>
    <w:p>
      <w:pPr>
        <w:spacing w:after="120" w:line="300"/>
        <w:ind w:left="720" w:hanging="720"/>
        <w:jc w:val="both"/>
      </w:pPr>
      <w:r>
        <w:rPr>
          <w:rFonts w:ascii="Times New Roman" w:cs="Times New Roman" w:eastAsia="Times New Roman" w:hAnsi="Times New Roman"/>
          <w:sz w:val="22"/>
          <w:szCs w:val="22"/>
        </w:rPr>
        <w:t xml:space="preserve">[6]  Databricks Engineering, "Benchmarking structured streaming on Databricks runtime against state-of-the-art streaming systems," Databricks Blog, Oct. 2017.</w:t>
      </w:r>
    </w:p>
    <w:p>
      <w:pPr>
        <w:spacing w:after="120" w:line="300"/>
        <w:ind w:left="720" w:hanging="720"/>
        <w:jc w:val="both"/>
      </w:pPr>
      <w:r>
        <w:rPr>
          <w:rFonts w:ascii="Times New Roman" w:cs="Times New Roman" w:eastAsia="Times New Roman" w:hAnsi="Times New Roman"/>
          <w:sz w:val="22"/>
          <w:szCs w:val="22"/>
        </w:rPr>
        <w:t xml:space="preserve">[7]  J. Karimov, T. Rabl, A. Katsifodimos, R. Samarev, H. Heiskanen, and V. Markl, "Benchmarking distributed stream data processing systems," in Proc. IEEE 34th Int. Conf. Data Eng. (ICDE), Paris, France, Apr. 2018, pp. 1507–1518.</w:t>
      </w:r>
    </w:p>
    <w:p>
      <w:pPr>
        <w:spacing w:after="120" w:line="300"/>
        <w:ind w:left="720" w:hanging="720"/>
        <w:jc w:val="both"/>
      </w:pPr>
      <w:r>
        <w:rPr>
          <w:rFonts w:ascii="Times New Roman" w:cs="Times New Roman" w:eastAsia="Times New Roman" w:hAnsi="Times New Roman"/>
          <w:sz w:val="22"/>
          <w:szCs w:val="22"/>
        </w:rPr>
        <w:t xml:space="preserve">[8]  A. Vogel, S. Henning, and W. Hasselbring, "A comprehensive benchmarking analysis of fault recovery in stream processing frameworks," arXiv preprint arXiv:2404.06203, 2024.</w:t>
      </w:r>
    </w:p>
    <w:p>
      <w:pPr>
        <w:spacing w:after="120" w:line="300"/>
        <w:ind w:left="720" w:hanging="720"/>
        <w:jc w:val="both"/>
      </w:pPr>
      <w:r>
        <w:rPr>
          <w:rFonts w:ascii="Times New Roman" w:cs="Times New Roman" w:eastAsia="Times New Roman" w:hAnsi="Times New Roman"/>
          <w:sz w:val="22"/>
          <w:szCs w:val="22"/>
        </w:rPr>
        <w:t xml:space="preserve">[9]  Apache Spark Project, "Tuning Spark – Spark 4.0.0 Documentation," 2025. [Online]. Available: https://spark.apache.org/docs/latest/tuning.html</w:t>
      </w:r>
    </w:p>
    <w:p>
      <w:pPr>
        <w:spacing w:after="120" w:line="300"/>
        <w:ind w:left="720" w:hanging="720"/>
        <w:jc w:val="both"/>
      </w:pPr>
      <w:r>
        <w:rPr>
          <w:rFonts w:ascii="Times New Roman" w:cs="Times New Roman" w:eastAsia="Times New Roman" w:hAnsi="Times New Roman"/>
          <w:sz w:val="22"/>
          <w:szCs w:val="22"/>
        </w:rPr>
        <w:t xml:space="preserve">[10]  Apache Spark Project, "Structured Streaming Programming Guide – Spark 4.0.0 Documentation," 2025. [Online]. Available: https://spark.apache.org/docs/latest/structured-streaming-programming-guide.html</w:t>
      </w:r>
    </w:p>
    <w:p>
      <w:pPr>
        <w:spacing w:after="120" w:line="300"/>
        <w:ind w:left="720" w:hanging="720"/>
        <w:jc w:val="both"/>
      </w:pPr>
      <w:r>
        <w:rPr>
          <w:rFonts w:ascii="Times New Roman" w:cs="Times New Roman" w:eastAsia="Times New Roman" w:hAnsi="Times New Roman"/>
          <w:sz w:val="22"/>
          <w:szCs w:val="22"/>
        </w:rPr>
        <w:t xml:space="preserve">[11]  Databricks Inc., "Configure structured streaming trigger intervals," Databricks Documentation, 2024.</w:t>
      </w:r>
    </w:p>
    <w:p>
      <w:pPr>
        <w:spacing w:after="120" w:line="300"/>
        <w:ind w:left="720" w:hanging="720"/>
        <w:jc w:val="both"/>
      </w:pPr>
      <w:r>
        <w:rPr>
          <w:rFonts w:ascii="Times New Roman" w:cs="Times New Roman" w:eastAsia="Times New Roman" w:hAnsi="Times New Roman"/>
          <w:sz w:val="22"/>
          <w:szCs w:val="22"/>
        </w:rPr>
        <w:t xml:space="preserve">[12]  M. Yang, "RocksDB 101: Optimizing stateful streaming in Apache Spark with Amazon EMR and AWS Glue," AWS Big Data Blog, 2023.</w:t>
      </w:r>
    </w:p>
    <w:p>
      <w:pPr>
        <w:spacing w:after="120" w:line="300"/>
        <w:ind w:left="720" w:hanging="720"/>
        <w:jc w:val="both"/>
      </w:pPr>
      <w:r>
        <w:rPr>
          <w:rFonts w:ascii="Times New Roman" w:cs="Times New Roman" w:eastAsia="Times New Roman" w:hAnsi="Times New Roman"/>
          <w:sz w:val="22"/>
          <w:szCs w:val="22"/>
        </w:rPr>
        <w:t xml:space="preserve">[13]  Databricks Engineering, "Introducing Project Lightspeed: Faster and simpler stream processing with Apache Spark," Databricks Blog, Jun. 2022.</w:t>
      </w:r>
    </w:p>
    <w:p>
      <w:pPr>
        <w:spacing w:after="120" w:line="300"/>
        <w:ind w:left="720" w:hanging="720"/>
        <w:jc w:val="both"/>
      </w:pPr>
      <w:r>
        <w:rPr>
          <w:rFonts w:ascii="Times New Roman" w:cs="Times New Roman" w:eastAsia="Times New Roman" w:hAnsi="Times New Roman"/>
          <w:sz w:val="22"/>
          <w:szCs w:val="22"/>
        </w:rPr>
        <w:t xml:space="preserve">[14]  Apache Spark Project, "Spark Release 4.0.0," 2025. [Online]. Available: https://spark.apache.org/releases/spark-release-4-0-0.html</w:t>
      </w:r>
    </w:p>
    <w:p>
      <w:pPr>
        <w:spacing w:after="120" w:line="300"/>
        <w:ind w:left="720" w:hanging="720"/>
        <w:jc w:val="both"/>
      </w:pPr>
      <w:r>
        <w:rPr>
          <w:rFonts w:ascii="Times New Roman" w:cs="Times New Roman" w:eastAsia="Times New Roman" w:hAnsi="Times New Roman"/>
          <w:sz w:val="22"/>
          <w:szCs w:val="22"/>
        </w:rPr>
        <w:t xml:space="preserve">[15]  M. Mazouchi, M. Kumar, A. Shrigondekar, and K. Ramasamy, "Performance improvements for stateful Apache Spark Structured Streaming pipelines," Databricks Blog, Feb. 2024.</w:t>
      </w:r>
    </w:p>
    <w:p>
      <w:pPr>
        <w:spacing w:after="120" w:line="300"/>
        <w:ind w:left="720" w:hanging="720"/>
        <w:jc w:val="both"/>
      </w:pPr>
      <w:r>
        <w:rPr>
          <w:rFonts w:ascii="Times New Roman" w:cs="Times New Roman" w:eastAsia="Times New Roman" w:hAnsi="Times New Roman"/>
          <w:sz w:val="22"/>
          <w:szCs w:val="22"/>
        </w:rPr>
        <w:t xml:space="preserve">[16]  Databricks Engineering, "Adaptive query execution: Speeding up Spark SQL at runtime," Databricks Blog, May 2020.</w:t>
      </w:r>
    </w:p>
    <w:p>
      <w:pPr>
        <w:spacing w:after="120" w:line="300"/>
        <w:ind w:left="720" w:hanging="720"/>
        <w:jc w:val="both"/>
      </w:pPr>
      <w:r>
        <w:rPr>
          <w:rFonts w:ascii="Times New Roman" w:cs="Times New Roman" w:eastAsia="Times New Roman" w:hAnsi="Times New Roman"/>
          <w:sz w:val="22"/>
          <w:szCs w:val="22"/>
        </w:rPr>
        <w:t xml:space="preserve">[17]  F. Xia, Q. Chen, and G. Huang, "Optimization of join operations in the Spark framework using RoaringBitmap," MDPI Algorithms, vol. 15, no. 7, Art. no. 234, Jul. 2022.</w:t>
      </w:r>
    </w:p>
    <w:p>
      <w:pPr>
        <w:spacing w:after="120" w:line="300"/>
        <w:ind w:left="720" w:hanging="720"/>
        <w:jc w:val="both"/>
      </w:pPr>
      <w:r>
        <w:rPr>
          <w:rFonts w:ascii="Times New Roman" w:cs="Times New Roman" w:eastAsia="Times New Roman" w:hAnsi="Times New Roman"/>
          <w:sz w:val="22"/>
          <w:szCs w:val="22"/>
        </w:rPr>
        <w:t xml:space="preserve">[18]  Databricks Inc., "Structured streaming jobs slow down on every 10th batch," Databricks Knowledge Base, 2024.</w:t>
      </w:r>
    </w:p>
    <w:p>
      <w:pPr>
        <w:spacing w:after="120" w:line="300"/>
        <w:ind w:left="720" w:hanging="720"/>
        <w:jc w:val="both"/>
      </w:pPr>
      <w:r>
        <w:rPr>
          <w:rFonts w:ascii="Times New Roman" w:cs="Times New Roman" w:eastAsia="Times New Roman" w:hAnsi="Times New Roman"/>
          <w:sz w:val="22"/>
          <w:szCs w:val="22"/>
        </w:rPr>
        <w:t xml:space="preserve">[19]  S. Henning and W. Hasselbring, "Benchmarking scalability of stream processing frameworks deployed as microservices in the cloud," J. Syst. Softw., vol. 208, Art. no. 111879, Feb. 2024.</w:t>
      </w:r>
    </w:p>
    <w:p>
      <w:pPr>
        <w:spacing w:after="120" w:line="300"/>
        <w:ind w:left="720" w:hanging="720"/>
        <w:jc w:val="both"/>
      </w:pPr>
      <w:r>
        <w:rPr>
          <w:rFonts w:ascii="Times New Roman" w:cs="Times New Roman" w:eastAsia="Times New Roman" w:hAnsi="Times New Roman"/>
          <w:sz w:val="22"/>
          <w:szCs w:val="22"/>
        </w:rPr>
        <w:t xml:space="preserve">[20]  A. Hussain, M. Aleem, M. A. Khan, and M. A. Islam, "A heuristic approach to Spark workflow task scheduling on heterogeneous nodes," Future Generation Comput. Syst., vol. 167, Art. no. 107780, 2025.</w:t>
      </w:r>
    </w:p>
    <w:p>
      <w:r>
        <w:br w:type="page"/>
      </w:r>
    </w:p>
    <w:p>
      <w:pPr>
        <w:pStyle w:val="Heading1"/>
        <w:spacing w:after="240" w:before="360" w:line="360"/>
        <w:jc w:val="left"/>
      </w:pPr>
      <w:r>
        <w:rPr>
          <w:rFonts w:ascii="Times New Roman" w:cs="Times New Roman" w:eastAsia="Times New Roman" w:hAnsi="Times New Roman"/>
          <w:b/>
          <w:bCs/>
          <w:sz w:val="32"/>
          <w:szCs w:val="32"/>
        </w:rPr>
        <w:t xml:space="preserve">APPENDICES</w:t>
      </w:r>
    </w:p>
    <w:p>
      <w:pPr>
        <w:pStyle w:val="Heading2"/>
        <w:spacing w:after="120" w:before="240" w:line="360"/>
        <w:jc w:val="left"/>
      </w:pPr>
      <w:r>
        <w:rPr>
          <w:rFonts w:ascii="Times New Roman" w:cs="Times New Roman" w:eastAsia="Times New Roman" w:hAnsi="Times New Roman"/>
          <w:b/>
          <w:bCs/>
          <w:sz w:val="28"/>
          <w:szCs w:val="28"/>
        </w:rPr>
        <w:t xml:space="preserve">Appendix A:  Representative Spark Configuration Snippets</w:t>
      </w:r>
    </w:p>
    <w:p>
      <w:pPr>
        <w:spacing w:after="120" w:line="360"/>
        <w:jc w:val="both"/>
      </w:pPr>
      <w:r>
        <w:rPr>
          <w:rFonts w:ascii="Times New Roman" w:cs="Times New Roman" w:eastAsia="Times New Roman" w:hAnsi="Times New Roman"/>
          <w:sz w:val="24"/>
          <w:szCs w:val="24"/>
        </w:rPr>
        <w:t xml:space="preserve">The following configuration excerpts capture the core settings recommended throughout this report. They are illustrative—exact values must be tuned to the specific deployment hardware, workload profile, and SLA requirements.</w:t>
      </w:r>
    </w:p>
    <w:p>
      <w:r>
        <w:rPr>
          <w:rFonts w:ascii="Times New Roman" w:cs="Times New Roman" w:eastAsia="Times New Roman" w:hAnsi="Times New Roman"/>
          <w:sz w:val="24"/>
          <w:szCs w:val="24"/>
        </w:rPr>
        <w:t xml:space="preserve"> </w:t>
      </w:r>
    </w:p>
    <w:p>
      <w:pPr>
        <w:shd w:fill="F2F2F2" w:val="clear"/>
        <w:spacing w:line="276"/>
        <w:jc w:val="left"/>
      </w:pPr>
      <w:r>
        <w:rPr>
          <w:rFonts w:ascii="Consolas" w:cs="Consolas" w:eastAsia="Consolas" w:hAnsi="Consolas"/>
          <w:sz w:val="22"/>
          <w:szCs w:val="22"/>
        </w:rPr>
        <w:t xml:space="preserve">spark.sql.streaming.stateStore.providerClass = </w:t>
      </w:r>
      <w:r>
        <w:rPr>
          <w:rFonts w:ascii="Consolas" w:cs="Consolas" w:eastAsia="Consolas" w:hAnsi="Consolas"/>
          <w:sz w:val="22"/>
          <w:szCs w:val="22"/>
        </w:rPr>
        <w:t xml:space="preserve">org.apache.spark.sql.execution.streaming.state.RocksDBStateStoreProvider</w:t>
      </w:r>
    </w:p>
    <w:p>
      <w:pPr>
        <w:spacing w:line="276"/>
        <w:jc w:val="left"/>
      </w:pPr>
      <w:r>
        <w:rPr>
          <w:rFonts w:ascii="Consolas" w:cs="Consolas" w:eastAsia="Consolas" w:hAnsi="Consolas"/>
          <w:sz w:val="22"/>
          <w:szCs w:val="22"/>
        </w:rPr>
        <w:t xml:space="preserve">spark.sql.streaming.stateStore.rocksdb.changelogCheckpointing.enabled = true</w:t>
      </w:r>
    </w:p>
    <w:p>
      <w:pPr>
        <w:spacing w:line="276"/>
        <w:jc w:val="left"/>
      </w:pPr>
      <w:r>
        <w:rPr>
          <w:rFonts w:ascii="Consolas" w:cs="Consolas" w:eastAsia="Consolas" w:hAnsi="Consolas"/>
          <w:sz w:val="22"/>
          <w:szCs w:val="22"/>
        </w:rPr>
        <w:t xml:space="preserve">spark.serializer = org.apache.spark.serializer.KryoSerializer</w:t>
      </w:r>
    </w:p>
    <w:p>
      <w:pPr>
        <w:spacing w:line="276"/>
        <w:jc w:val="left"/>
      </w:pPr>
      <w:r>
        <w:rPr>
          <w:rFonts w:ascii="Consolas" w:cs="Consolas" w:eastAsia="Consolas" w:hAnsi="Consolas"/>
          <w:sz w:val="22"/>
          <w:szCs w:val="22"/>
        </w:rPr>
        <w:t xml:space="preserve">spark.sql.adaptive.enabled = true</w:t>
      </w:r>
    </w:p>
    <w:p>
      <w:pPr>
        <w:spacing w:line="276"/>
        <w:jc w:val="left"/>
      </w:pPr>
      <w:r>
        <w:rPr>
          <w:rFonts w:ascii="Consolas" w:cs="Consolas" w:eastAsia="Consolas" w:hAnsi="Consolas"/>
          <w:sz w:val="22"/>
          <w:szCs w:val="22"/>
        </w:rPr>
        <w:t xml:space="preserve">spark.sql.adaptive.skewJoin.enabled = true</w:t>
      </w:r>
    </w:p>
    <w:p>
      <w:pPr>
        <w:spacing w:line="276"/>
        <w:jc w:val="left"/>
      </w:pPr>
      <w:r>
        <w:rPr>
          <w:rFonts w:ascii="Consolas" w:cs="Consolas" w:eastAsia="Consolas" w:hAnsi="Consolas"/>
          <w:sz w:val="22"/>
          <w:szCs w:val="22"/>
        </w:rPr>
        <w:t xml:space="preserve">spark.sql.adaptive.coalescePartitions.enabled = true</w:t>
      </w:r>
    </w:p>
    <w:p>
      <w:pPr>
        <w:spacing w:line="276"/>
        <w:jc w:val="left"/>
      </w:pPr>
      <w:r>
        <w:rPr>
          <w:rFonts w:ascii="Consolas" w:cs="Consolas" w:eastAsia="Consolas" w:hAnsi="Consolas"/>
          <w:sz w:val="22"/>
          <w:szCs w:val="22"/>
        </w:rPr>
        <w:t xml:space="preserve">spark.memory.fraction = 0.6</w:t>
      </w:r>
    </w:p>
    <w:p>
      <w:r>
        <w:rPr>
          <w:rFonts w:ascii="Times New Roman" w:cs="Times New Roman" w:eastAsia="Times New Roman" w:hAnsi="Times New Roman"/>
          <w:sz w:val="24"/>
          <w:szCs w:val="24"/>
        </w:rPr>
        <w:t xml:space="preserve"> </w:t>
      </w:r>
    </w:p>
    <w:p>
      <w:pPr>
        <w:pStyle w:val="Heading2"/>
        <w:spacing w:after="120" w:before="240" w:line="360"/>
        <w:jc w:val="left"/>
      </w:pPr>
      <w:r>
        <w:rPr>
          <w:rFonts w:ascii="Times New Roman" w:cs="Times New Roman" w:eastAsia="Times New Roman" w:hAnsi="Times New Roman"/>
          <w:b/>
          <w:bCs/>
          <w:sz w:val="28"/>
          <w:szCs w:val="28"/>
        </w:rPr>
        <w:t xml:space="preserve">Appendix B:  Kafka Source Reader Settings</w:t>
      </w:r>
    </w:p>
    <w:p>
      <w:pPr>
        <w:spacing w:line="276"/>
        <w:jc w:val="left"/>
      </w:pPr>
      <w:r>
        <w:rPr>
          <w:rFonts w:ascii="Consolas" w:cs="Consolas" w:eastAsia="Consolas" w:hAnsi="Consolas"/>
          <w:sz w:val="22"/>
          <w:szCs w:val="22"/>
        </w:rPr>
        <w:t xml:space="preserve">.option("maxOffsetsPerTrigger", "1000")</w:t>
      </w:r>
    </w:p>
    <w:p>
      <w:pPr>
        <w:spacing w:line="276"/>
        <w:jc w:val="left"/>
      </w:pPr>
      <w:r>
        <w:rPr>
          <w:rFonts w:ascii="Consolas" w:cs="Consolas" w:eastAsia="Consolas" w:hAnsi="Consolas"/>
          <w:sz w:val="22"/>
          <w:szCs w:val="22"/>
        </w:rPr>
        <w:t xml:space="preserve">.option("failOnDataLoss", "false")</w:t>
      </w:r>
    </w:p>
    <w:p>
      <w:pPr>
        <w:spacing w:line="276"/>
        <w:jc w:val="left"/>
      </w:pPr>
      <w:r>
        <w:rPr>
          <w:rFonts w:ascii="Consolas" w:cs="Consolas" w:eastAsia="Consolas" w:hAnsi="Consolas"/>
          <w:sz w:val="22"/>
          <w:szCs w:val="22"/>
        </w:rPr>
        <w:t xml:space="preserve">.option("kafka.session.timeout.ms", "30000")</w:t>
      </w:r>
    </w:p>
    <w:p>
      <w:r>
        <w:rPr>
          <w:rFonts w:ascii="Times New Roman" w:cs="Times New Roman" w:eastAsia="Times New Roman" w:hAnsi="Times New Roman"/>
          <w:sz w:val="24"/>
          <w:szCs w:val="24"/>
        </w:rPr>
        <w:t xml:space="preserve"> </w:t>
      </w:r>
    </w:p>
    <w:p>
      <w:pPr>
        <w:pStyle w:val="Heading2"/>
        <w:spacing w:after="120" w:before="240" w:line="360"/>
        <w:jc w:val="left"/>
      </w:pPr>
      <w:r>
        <w:rPr>
          <w:rFonts w:ascii="Times New Roman" w:cs="Times New Roman" w:eastAsia="Times New Roman" w:hAnsi="Times New Roman"/>
          <w:b/>
          <w:bCs/>
          <w:sz w:val="28"/>
          <w:szCs w:val="28"/>
        </w:rPr>
        <w:t xml:space="preserve">Appendix C:  Delta Lake Sink Settings</w:t>
      </w:r>
    </w:p>
    <w:p>
      <w:pPr>
        <w:spacing w:line="276"/>
        <w:jc w:val="left"/>
      </w:pPr>
      <w:r>
        <w:rPr>
          <w:rFonts w:ascii="Consolas" w:cs="Consolas" w:eastAsia="Consolas" w:hAnsi="Consolas"/>
          <w:sz w:val="22"/>
          <w:szCs w:val="22"/>
        </w:rPr>
        <w:t xml:space="preserve">delta.autoOptimize.optimizeWrite = true</w:t>
      </w:r>
    </w:p>
    <w:p>
      <w:pPr>
        <w:spacing w:line="276"/>
        <w:jc w:val="left"/>
      </w:pPr>
      <w:r>
        <w:rPr>
          <w:rFonts w:ascii="Consolas" w:cs="Consolas" w:eastAsia="Consolas" w:hAnsi="Consolas"/>
          <w:sz w:val="22"/>
          <w:szCs w:val="22"/>
        </w:rPr>
        <w:t xml:space="preserve">delta.autoOptimize.autoCompact = true</w:t>
      </w:r>
    </w:p>
    <w:p>
      <w:pPr>
        <w:spacing w:line="276"/>
        <w:jc w:val="left"/>
      </w:pPr>
      <w:r>
        <w:rPr>
          <w:rFonts w:ascii="Consolas" w:cs="Consolas" w:eastAsia="Consolas" w:hAnsi="Consolas"/>
          <w:sz w:val="22"/>
          <w:szCs w:val="22"/>
        </w:rPr>
        <w:t xml:space="preserve">OPTIMIZE delta_table WHERE event_date &gt;= current_date - 1</w:t>
      </w:r>
    </w:p>
    <w:p>
      <w:pPr>
        <w:spacing w:line="276"/>
        <w:jc w:val="left"/>
      </w:pPr>
      <w:r>
        <w:rPr>
          <w:rFonts w:ascii="Consolas" w:cs="Consolas" w:eastAsia="Consolas" w:hAnsi="Consolas"/>
          <w:sz w:val="22"/>
          <w:szCs w:val="22"/>
        </w:rPr>
        <w:t xml:space="preserve">VACUUM delta_table RETAIN 168 HOURS</w:t>
      </w:r>
    </w:p>
    <w:p>
      <w:r>
        <w:rPr>
          <w:rFonts w:ascii="Times New Roman" w:cs="Times New Roman" w:eastAsia="Times New Roman" w:hAnsi="Times New Roman"/>
          <w:sz w:val="24"/>
          <w:szCs w:val="24"/>
        </w:rPr>
        <w:t xml:space="preserve"> </w:t>
      </w:r>
    </w:p>
    <w:p>
      <w:pPr>
        <w:pStyle w:val="Heading2"/>
        <w:spacing w:after="120" w:before="240" w:line="360"/>
        <w:jc w:val="left"/>
      </w:pPr>
      <w:r>
        <w:rPr>
          <w:rFonts w:ascii="Times New Roman" w:cs="Times New Roman" w:eastAsia="Times New Roman" w:hAnsi="Times New Roman"/>
          <w:b/>
          <w:bCs/>
          <w:sz w:val="28"/>
          <w:szCs w:val="28"/>
        </w:rPr>
        <w:t xml:space="preserve">Appendix D:  JVM Garbage Collector Flags</w:t>
      </w:r>
    </w:p>
    <w:p>
      <w:pPr>
        <w:spacing w:line="276"/>
        <w:jc w:val="left"/>
      </w:pPr>
      <w:r>
        <w:rPr>
          <w:rFonts w:ascii="Consolas" w:cs="Consolas" w:eastAsia="Consolas" w:hAnsi="Consolas"/>
          <w:sz w:val="22"/>
          <w:szCs w:val="22"/>
        </w:rPr>
        <w:t xml:space="preserve">G1GC (default):  -XX:+UseG1GC -XX:MaxGCPauseMillis=200</w:t>
      </w:r>
    </w:p>
    <w:p>
      <w:pPr>
        <w:spacing w:line="276"/>
        <w:jc w:val="left"/>
      </w:pPr>
      <w:r>
        <w:rPr>
          <w:rFonts w:ascii="Consolas" w:cs="Consolas" w:eastAsia="Consolas" w:hAnsi="Consolas"/>
          <w:sz w:val="22"/>
          <w:szCs w:val="22"/>
        </w:rPr>
        <w:t xml:space="preserve">Shenandoah:      -XX:+UseShenandoahGC</w:t>
      </w:r>
    </w:p>
    <w:p>
      <w:pPr>
        <w:spacing w:line="276"/>
        <w:jc w:val="left"/>
      </w:pPr>
      <w:r>
        <w:rPr>
          <w:rFonts w:ascii="Consolas" w:cs="Consolas" w:eastAsia="Consolas" w:hAnsi="Consolas"/>
          <w:sz w:val="22"/>
          <w:szCs w:val="22"/>
        </w:rPr>
        <w:t xml:space="preserve">ZGC:             -XX:+UseZGC -XX:+ZGenerational</w:t>
      </w:r>
    </w:p>
    <w:p>
      <w:r>
        <w:rPr>
          <w:rFonts w:ascii="Times New Roman" w:cs="Times New Roman" w:eastAsia="Times New Roman" w:hAnsi="Times New Roman"/>
          <w:sz w:val="24"/>
          <w:szCs w:val="24"/>
        </w:rPr>
        <w:t xml:space="preserve"> </w:t>
      </w:r>
    </w:p>
    <w:p>
      <w:pPr>
        <w:pStyle w:val="Heading2"/>
        <w:spacing w:after="120" w:before="240" w:line="360"/>
        <w:jc w:val="left"/>
      </w:pPr>
      <w:r>
        <w:rPr>
          <w:rFonts w:ascii="Times New Roman" w:cs="Times New Roman" w:eastAsia="Times New Roman" w:hAnsi="Times New Roman"/>
          <w:b/>
          <w:bCs/>
          <w:sz w:val="28"/>
          <w:szCs w:val="28"/>
        </w:rPr>
        <w:t xml:space="preserve">Appendix E:  Project Mapping to CO-OP Outcomes</w:t>
      </w:r>
    </w:p>
    <w:p>
      <w:pPr>
        <w:spacing w:after="120" w:line="360"/>
        <w:jc w:val="both"/>
      </w:pPr>
      <w:r>
        <w:rPr>
          <w:rFonts w:ascii="Times New Roman" w:cs="Times New Roman" w:eastAsia="Times New Roman" w:hAnsi="Times New Roman"/>
          <w:sz w:val="24"/>
          <w:szCs w:val="24"/>
        </w:rPr>
        <w:t xml:space="preserve">The work documented in this report exposed the authors to industry-grade distributed data processing engineering. Key learning outcomes include hands-on configuration of production Spark Structured Streaming pipelines, an applied understanding of JVM memory models and garbage collection internals, practical experience with off-heap state management via RocksDB, and exposure to the operational realities of edge and cost-constrained cloud deployments. These competencies map directly to the CO-OP program objective of bridging classroom theory with industry practice in computer science and 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20"/>
        <w:szCs w:val="20"/>
      </w:rPr>
      <w:t xml:space="preserve">CO-OP II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80" w:line="3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High-Throughput Apache Spark Structured Streaming Optimization in Resource-Constrained Edge and Cloud Environments</dc:title>
  <dc:creator>Lalit Jindal and Monu Kumar</dc:creator>
  <dc:description>CO-OP II Project Report</dc:description>
  <cp:lastModifiedBy>Un-named</cp:lastModifiedBy>
  <cp:revision>1</cp:revision>
  <dcterms:created xsi:type="dcterms:W3CDTF">2026-05-17T21:31:30.149Z</dcterms:created>
  <dcterms:modified xsi:type="dcterms:W3CDTF">2026-05-17T21:31:30.149Z</dcterms:modified>
</cp:coreProperties>
</file>

<file path=docProps/custom.xml><?xml version="1.0" encoding="utf-8"?>
<Properties xmlns="http://schemas.openxmlformats.org/officeDocument/2006/custom-properties" xmlns:vt="http://schemas.openxmlformats.org/officeDocument/2006/docPropsVTypes"/>
</file>