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2E74B5"/>
          <w:sz w:val="18"/>
        </w:rPr>
        <w:t>FLOW CREATOR MUSIC</w:t>
      </w:r>
    </w:p>
    <w:p>
      <w:pPr>
        <w:spacing w:after="60"/>
      </w:pPr>
      <w:r>
        <w:rPr>
          <w:rFonts w:ascii="Calibri" w:hAnsi="Calibri"/>
          <w:b/>
          <w:color w:val="07142E"/>
          <w:sz w:val="46"/>
        </w:rPr>
        <w:t>CREATOR MUSIC LICENSE</w:t>
      </w:r>
    </w:p>
    <w:p>
      <w:pPr>
        <w:spacing w:after="200"/>
      </w:pPr>
      <w:r>
        <w:rPr>
          <w:rFonts w:ascii="Calibri" w:hAnsi="Calibri"/>
          <w:color w:val="5D687A"/>
          <w:sz w:val="21"/>
        </w:rPr>
        <w:t>Public terms - ready for signature and clickwrap publication</w:t>
      </w:r>
    </w:p>
    <w:tbl>
      <w:tblPr>
        <w:tblW w:type="dxa" w:w="9360"/>
        <w:jc w:val="left"/>
        <w:tblLayout w:type="fixed"/>
        <w:tblLook w:firstColumn="1" w:firstRow="1" w:lastColumn="0" w:lastRow="0" w:noHBand="0" w:noVBand="1" w:val="04A0"/>
        <w:tblInd w:w="120" w:type="dxa"/>
      </w:tblPr>
      <w:tblGrid>
        <w:gridCol w:w="2500"/>
        <w:gridCol w:w="6860"/>
      </w:tblGrid>
      <w:tr>
        <w:trPr>
          <w:tblHeader/>
        </w:trPr>
        <w:tc>
          <w:tcPr>
            <w:tcW w:type="dxa" w:w="2500"/>
            <w:tcMar>
              <w:top w:w="80" w:type="dxa"/>
              <w:start w:w="120" w:type="dxa"/>
              <w:bottom w:w="80" w:type="dxa"/>
              <w:end w:w="120" w:type="dxa"/>
            </w:tcMar>
            <w:vAlign w:val="center"/>
            <w:shd w:fill="F2F4F7"/>
          </w:tcPr>
          <w:p>
            <w:pPr>
              <w:spacing w:after="0"/>
            </w:pPr>
            <w:r>
              <w:rPr>
                <w:rFonts w:ascii="Calibri" w:hAnsi="Calibri"/>
                <w:b/>
                <w:color w:val="07142E"/>
                <w:sz w:val="17"/>
              </w:rPr>
              <w:t>DOCUMENT ID</w:t>
              <w:br/>
              <w:t>creator-license-2026-07-21</w:t>
            </w:r>
          </w:p>
        </w:tc>
        <w:tc>
          <w:tcPr>
            <w:tcW w:type="dxa" w:w="6860"/>
            <w:tcMar>
              <w:top w:w="80" w:type="dxa"/>
              <w:start w:w="120" w:type="dxa"/>
              <w:bottom w:w="80" w:type="dxa"/>
              <w:end w:w="120" w:type="dxa"/>
            </w:tcMar>
            <w:vAlign w:val="center"/>
            <w:shd w:fill="FFF5D8"/>
          </w:tcPr>
          <w:p>
            <w:pPr>
              <w:spacing w:after="0"/>
            </w:pPr>
            <w:r>
              <w:rPr>
                <w:rFonts w:ascii="Calibri" w:hAnsi="Calibri"/>
                <w:b/>
                <w:color w:val="7B5500"/>
                <w:sz w:val="17"/>
              </w:rPr>
              <w:t>READY FOR SIGNATURE / EFFECTIVE ONLY AS STATED IN SECTION 16</w:t>
            </w:r>
          </w:p>
        </w:tc>
      </w:tr>
    </w:tbl>
    <w:p>
      <w:pPr>
        <w:spacing w:after="0"/>
      </w:pPr>
    </w:p>
    <w:p>
      <w:pPr>
        <w:pStyle w:val="Heading1"/>
      </w:pPr>
      <w:r>
        <w:t>1. Parties, product, and controlling document</w:t>
      </w:r>
    </w:p>
    <w:p>
      <w:pPr>
        <w:widowControl/>
      </w:pPr>
      <w:r>
        <w:t>These terms govern the limited creator synchronization license for eligible tracks in Flow Creator Music. The Licensor is Lalu Virzy Gunawan, only to the extent he owns or controls the rights necessary to grant the license. The Operator and license administrator is PT KREASI VIRZY NUSANTARA, NIB 1006260092872, with its registered office at BTN Gerantung Blok I No. 20, Desa/Kelurahan Gerantung, Kec. Praya Tengah, Kab. Lombok Tengah, Provinsi Nusa Tenggara Barat, Kode Pos 83523, Indonesia.</w:t>
      </w:r>
    </w:p>
    <w:p>
      <w:pPr>
        <w:widowControl/>
      </w:pPr>
      <w:r>
        <w:t>Legal and support notices may be sent to founder@virzyguns.com. Flow Pro billing is governed by the separate subscription, refund, and checkout terms shown to the user. A third-party merchant of record named at checkout may process the transaction but does not become the owner or licensor of the music.</w:t>
      </w:r>
    </w:p>
    <w:p>
      <w:pPr>
        <w:widowControl/>
      </w:pPr>
      <w:r>
        <w:t>The Indonesian version of these terms controls. The English version is provided for convenience. Mandatory rights that cannot lawfully be waived remain unaffected.</w:t>
      </w:r>
    </w:p>
    <w:p>
      <w:pPr>
        <w:pStyle w:val="Heading1"/>
      </w:pPr>
      <w:r>
        <w:t>2. Catalog and eligibility</w:t>
      </w:r>
    </w:p>
    <w:p>
      <w:pPr>
        <w:widowControl/>
      </w:pPr>
      <w:r>
        <w:t>These terms apply only to tracks identified as creator-license eligible in the stored catalog snapshot creator-catalog-2026-07-19 (the Catalog). The Catalog contains 174 tracks: 49 City Pop, 43 Cyberpunk Jazz, and 82 Neo Synthwave tracks. Lofi tracks are excluded.</w:t>
      </w:r>
    </w:p>
    <w:p>
      <w:pPr>
        <w:widowControl/>
      </w:pPr>
      <w:r>
        <w:t>A license is created only when a user with an active Flow Pro plan expressly accepts these terms for an eligible track and Flow creates a unique electronic Grant Record. Previewing, streaming, discovering, possessing, or paying for a track without a Grant Record does not create this license.</w:t>
      </w:r>
    </w:p>
    <w:p>
      <w:pPr>
        <w:widowControl/>
      </w:pPr>
      <w:r>
        <w:t>The user must be at least 18 years old and legally capable of accepting these terms. A person under 18 may use the license only through a parent or legal guardian who accepts the terms and is responsible for compliance. Anyone accepting for an organization confirms authority to bind it.</w:t>
      </w:r>
    </w:p>
    <w:p>
      <w:pPr>
        <w:pStyle w:val="Heading1"/>
      </w:pPr>
      <w:r>
        <w:t>3. License grant</w:t>
      </w:r>
    </w:p>
    <w:p>
      <w:pPr>
        <w:widowControl/>
      </w:pPr>
      <w:r>
        <w:t>Subject to these terms, the Licensor grants the user a non-exclusive, non-transferable, non-sublicensable license to download the applicable Catalog track and synchronize it as supporting background music in a Creator Work made or controlled by the user.</w:t>
      </w:r>
    </w:p>
    <w:p>
      <w:pPr>
        <w:widowControl/>
      </w:pPr>
      <w:r>
        <w:t>A Creator Work is a video, livestream, podcast, or comparable creator program in which the music supports the work and is not the primary standalone product. The license is intended to operate worldwide only for rights actually owned or controlled by the Licensor. Local law, platform rules, collective-management obligations, public-performance rights, sanctions, or service availability may impose additional requirements.</w:t>
      </w:r>
    </w:p>
    <w:p>
      <w:pPr>
        <w:widowControl/>
      </w:pPr>
      <w:r>
        <w:t>The user may give a hosting or social platform the limited technical permission needed to host, encode, transcode, display, communicate, and distribute the Creator Work. Neither the user nor the platform may exploit the track as standalone music.</w:t>
      </w:r>
    </w:p>
    <w:p>
      <w:pPr>
        <w:pStyle w:val="Heading1"/>
      </w:pPr>
      <w:r>
        <w:t>4. Permitted uses</w:t>
      </w:r>
    </w:p>
    <w:p>
      <w:pPr>
        <w:pStyle w:val="ListBullet"/>
        <w:spacing w:after="60" w:line="259" w:lineRule="auto"/>
        <w:ind w:left="720" w:hanging="360"/>
      </w:pPr>
      <w:r>
        <w:t>Monetized or non-monetized videos and social creator content.</w:t>
      </w:r>
    </w:p>
    <w:p>
      <w:pPr>
        <w:pStyle w:val="ListBullet"/>
        <w:spacing w:after="60" w:line="259" w:lineRule="auto"/>
        <w:ind w:left="720" w:hanging="360"/>
      </w:pPr>
      <w:r>
        <w:t>Livestreams and archived livestream replays.</w:t>
      </w:r>
    </w:p>
    <w:p>
      <w:pPr>
        <w:pStyle w:val="ListBullet"/>
        <w:spacing w:after="60" w:line="259" w:lineRule="auto"/>
        <w:ind w:left="720" w:hanging="360"/>
      </w:pPr>
      <w:r>
        <w:t>Podcasts and video podcasts.</w:t>
      </w:r>
    </w:p>
    <w:p>
      <w:pPr>
        <w:pStyle w:val="ListBullet"/>
        <w:spacing w:after="60" w:line="259" w:lineRule="auto"/>
        <w:ind w:left="720" w:hanging="360"/>
      </w:pPr>
      <w:r>
        <w:t>Study, coding, software, technology, productivity, educational, and comparable creator content where the track remains supporting background music.</w:t>
      </w:r>
    </w:p>
    <w:p>
      <w:pPr>
        <w:pStyle w:val="ListBullet"/>
        <w:spacing w:after="60" w:line="259" w:lineRule="auto"/>
        <w:ind w:left="720" w:hanging="360"/>
      </w:pPr>
      <w:r>
        <w:t>A properly licensed Creator Work may receive unlimited views or streams. Client, agency, white-label, broadcast, theatrical, advertising-campaign, game, app, template, stock-library, or music-library use requires a separate written license.</w:t>
      </w:r>
    </w:p>
    <w:p>
      <w:pPr>
        <w:pStyle w:val="Heading1"/>
      </w:pPr>
      <w:r>
        <w:t>5. Limited technical edits</w:t>
      </w:r>
    </w:p>
    <w:p>
      <w:pPr>
        <w:widowControl/>
      </w:pPr>
      <w:r>
        <w:t>The user may trim, fade, loop, adjust volume, or apply ducking as reasonably needed to synchronize a track with a Creator Work. The user may not create a remix, sample, mashup, derivative song, adaptation, stems, or another standalone musical work, and may not distribute edited audio separately from the Creator Work.</w:t>
      </w:r>
    </w:p>
    <w:p>
      <w:pPr>
        <w:pStyle w:val="Heading1"/>
      </w:pPr>
      <w:r>
        <w:t>6. Required attribution</w:t>
      </w:r>
    </w:p>
    <w:p>
      <w:pPr>
        <w:widowControl/>
      </w:pPr>
      <w:r>
        <w:t>The user must publish this credit in the video description, stream panel, podcast notes, or another reasonably visible credit field: "Music: Flow Creator Music by Chill Music Division / Virzy Guns Production - https://flow.virzyguns.com/creator-music"</w:t>
      </w:r>
    </w:p>
    <w:p>
      <w:pPr>
        <w:widowControl/>
      </w:pPr>
      <w:r>
        <w:t>If the platform has no practical credit field, the user must use the nearest reasonable public field or obtain an approved alternative from Flow. An accidental omission must be corrected promptly after notice before it is treated as a material breach, except for deliberate or repeated misuse.</w:t>
      </w:r>
    </w:p>
    <w:p>
      <w:pPr>
        <w:pStyle w:val="Heading1"/>
      </w:pPr>
      <w:r>
        <w:t>7. Prohibited uses and claims</w:t>
      </w:r>
    </w:p>
    <w:p>
      <w:pPr>
        <w:pStyle w:val="ListBullet"/>
        <w:spacing w:after="60" w:line="259" w:lineRule="auto"/>
        <w:ind w:left="720" w:hanging="360"/>
      </w:pPr>
      <w:r>
        <w:t>Redistributing, selling, renting, gifting, sublicensing, or publicly hosting a Catalog track as standalone audio.</w:t>
      </w:r>
    </w:p>
    <w:p>
      <w:pPr>
        <w:pStyle w:val="ListBullet"/>
        <w:spacing w:after="60" w:line="259" w:lineRule="auto"/>
        <w:ind w:left="720" w:hanging="360"/>
      </w:pPr>
      <w:r>
        <w:t>Uploading a Catalog track or music-derived version to Spotify, Apple Music, YouTube Music, or another digital music service under the user's account.</w:t>
      </w:r>
    </w:p>
    <w:p>
      <w:pPr>
        <w:pStyle w:val="ListBullet"/>
        <w:spacing w:after="60" w:line="259" w:lineRule="auto"/>
        <w:ind w:left="720" w:hanging="360"/>
      </w:pPr>
      <w:r>
        <w:t>Registering or claiming a Catalog track, its audio fingerprint, or any music-derived portion in Content ID, Meta Rights Manager, TikTok fingerprinting, or a similar system. The user's original non-music elements may be protected only when the Catalog track is excluded from the claim.</w:t>
      </w:r>
    </w:p>
    <w:p>
      <w:pPr>
        <w:pStyle w:val="ListBullet"/>
        <w:spacing w:after="60" w:line="259" w:lineRule="auto"/>
        <w:ind w:left="720" w:hanging="360"/>
      </w:pPr>
      <w:r>
        <w:t>Claiming authorship, ownership, exclusivity, publishing rights, master rights, or composition rights in a Catalog track.</w:t>
      </w:r>
    </w:p>
    <w:p>
      <w:pPr>
        <w:pStyle w:val="ListBullet"/>
        <w:spacing w:after="60" w:line="259" w:lineRule="auto"/>
        <w:ind w:left="720" w:hanging="360"/>
      </w:pPr>
      <w:r>
        <w:t>Making a Catalog track extractable through a library, bundle, template, app, software product, game, marketplace, or client delivery.</w:t>
      </w:r>
    </w:p>
    <w:p>
      <w:pPr>
        <w:pStyle w:val="Heading1"/>
      </w:pPr>
      <w:r>
        <w:t>8. Ownership and reserved rights</w:t>
      </w:r>
    </w:p>
    <w:p>
      <w:pPr>
        <w:widowControl/>
      </w:pPr>
      <w:r>
        <w:t>All ownership and intellectual-property rights remain with the relevant rights holder. No ownership, exclusivity, moral rights, trademark rights, or other rights transfer to the user. Every right not expressly granted is reserved. Public pages on Spotify or other services support discovery only and are not proof of a Flow creator license.</w:t>
      </w:r>
    </w:p>
    <w:p>
      <w:pPr>
        <w:pStyle w:val="Heading1"/>
      </w:pPr>
      <w:r>
        <w:t>9. Grant Records and evidence</w:t>
      </w:r>
    </w:p>
    <w:p>
      <w:pPr>
        <w:widowControl/>
      </w:pPr>
      <w:r>
        <w:t>Each Grant Record must identify the user or account, track, accepted document ID creator-license-2026-07-21, acceptance timestamp, locale shown, Flow Pro status, Catalog version, and unique grant ID. Flow will preserve the accepted terms and Catalog snapshot. The user should keep the Grant Record and reliable evidence of the first publication or first livestream of each Creator Work.</w:t>
      </w:r>
    </w:p>
    <w:p>
      <w:pPr>
        <w:pStyle w:val="Heading1"/>
      </w:pPr>
      <w:r>
        <w:t>10. Cancellation and catalog changes</w:t>
      </w:r>
    </w:p>
    <w:p>
      <w:pPr>
        <w:widowControl/>
      </w:pPr>
      <w:r>
        <w:t>A Creator Work first published or first livestreamed while Flow Pro was active, a valid Grant Record existed, and the user complied with these terms remains licensed after an ordinary cancellation. Continued hosting, replay, monetization, platform transcoding, caption, thumbnail, metadata, and non-musical edits to the same substantially unchanged Creator Work remain permitted.</w:t>
      </w:r>
    </w:p>
    <w:p>
      <w:pPr>
        <w:widowControl/>
      </w:pPr>
      <w:r>
        <w:t>A new Creator Work first published while Flow Pro is inactive requires a new Grant Record after Flow Pro becomes active again. Prospective removal of a Catalog track does not by itself terminate a valid license for a qualifying Creator Work already published.</w:t>
      </w:r>
    </w:p>
    <w:p>
      <w:pPr>
        <w:pStyle w:val="Heading1"/>
      </w:pPr>
      <w:r>
        <w:t>11. Platform claims and support</w:t>
      </w:r>
    </w:p>
    <w:p>
      <w:pPr>
        <w:widowControl/>
      </w:pPr>
      <w:r>
        <w:t>Neither the Licensor nor the Operator guarantees platform acceptance, monetization, whitelisting, recommendation, or freedom from automated claims, muting, regional blocking, or takedowns. To dispute an incorrect claim, the user should rely on the Grant Record and contact founder@virzyguns.com, without claiming ownership of the music. Support is administrative assistance and does not guarantee a platform outcome.</w:t>
      </w:r>
    </w:p>
    <w:p>
      <w:pPr>
        <w:pStyle w:val="Heading1"/>
      </w:pPr>
      <w:r>
        <w:t>12. Refunds, breach, suspension, and revocation</w:t>
      </w:r>
    </w:p>
    <w:p>
      <w:pPr>
        <w:widowControl/>
      </w:pPr>
      <w:r>
        <w:t>Flow Pro refund requests are handled under the separate refund policy, including the published 14-day request window where applicable. A lawful consumer refund or ordinary cancellation does not automatically erase a license already validly attached to a qualifying Creator Work.</w:t>
      </w:r>
    </w:p>
    <w:p>
      <w:pPr>
        <w:widowControl/>
      </w:pPr>
      <w:r>
        <w:t>Fraud, account compromise, unauthorized rights-management registration, or material breach may result in suspension or revocation of affected grants only to the extent permitted by mandatory law. Except where urgent action is reasonably necessary to prevent fraud, infringement, or platform harm, Flow will provide reasonable notice, an opportunity to cure a curable breach, an appeal channel, and a clear effective time for revocation.</w:t>
      </w:r>
    </w:p>
    <w:p>
      <w:pPr>
        <w:pStyle w:val="Heading1"/>
      </w:pPr>
      <w:r>
        <w:t>13. Service terms, warranties, liability, and indemnity</w:t>
      </w:r>
    </w:p>
    <w:p>
      <w:pPr>
        <w:widowControl/>
      </w:pPr>
      <w:r>
        <w:t>Flow and the Catalog are provided on an as-available basis. The Licensor represents only that he owns or controls the rights expressly granted, subject to disclosed restrictions and mandatory law. No promise is made that every platform will accept, monetize, or automatically clear the music.</w:t>
      </w:r>
    </w:p>
    <w:p>
      <w:pPr>
        <w:widowControl/>
      </w:pPr>
      <w:r>
        <w:t>To the maximum extent permitted by law, neither the Licensor nor the Operator is liable for indirect, incidental, special, consequential, or lost-profit damages arising from this license. Their combined aggregate liability arising from this license will not exceed the Flow Pro fees paid for the affected account in the 12 months before the event giving rise to the claim. These limits do not apply to fraud, willful misconduct, gross negligence, a breach of the Licensor's authority to grant the express rights, or liability that cannot lawfully be limited.</w:t>
      </w:r>
    </w:p>
    <w:p>
      <w:pPr>
        <w:widowControl/>
      </w:pPr>
      <w:r>
        <w:t>To the extent permitted by law, the user is responsible for reasonable third-party claims caused by the user's Creator Work, prohibited use of a track, false ownership claim, or material breach of these terms, excluding claims caused by the Licensor's or Operator's own breach or misconduct.</w:t>
      </w:r>
    </w:p>
    <w:p>
      <w:pPr>
        <w:pStyle w:val="Heading1"/>
      </w:pPr>
      <w:r>
        <w:t>14. Changes to these terms</w:t>
      </w:r>
    </w:p>
    <w:p>
      <w:pPr>
        <w:widowControl/>
      </w:pPr>
      <w:r>
        <w:t>Each Grant Record is governed by the document ID expressly accepted when it was created. Later terms apply prospectively and do not silently rewrite an earlier grant unless the user validly accepts them or a change is required by mandatory law. Material changes will be identified by a new document ID.</w:t>
      </w:r>
    </w:p>
    <w:p>
      <w:pPr>
        <w:pStyle w:val="Heading1"/>
      </w:pPr>
      <w:r>
        <w:t>15. Governing law and disputes</w:t>
      </w:r>
    </w:p>
    <w:p>
      <w:pPr>
        <w:widowControl/>
      </w:pPr>
      <w:r>
        <w:t>These terms are governed by the laws of the Republic of Indonesia, without excluding mandatory consumer or other rights that apply in the user's place of residence. Before filing a claim, the parties will attempt in good faith to resolve it by written notice and discussion for 30 calendar days.</w:t>
      </w:r>
    </w:p>
    <w:p>
      <w:pPr>
        <w:widowControl/>
      </w:pPr>
      <w:r>
        <w:t>If the dispute is not resolved, it will be submitted to the competent court at Pengadilan Negeri Praya, Kabupaten Lombok Tengah, Indonesia, unless mandatory law gives the user the right to use another court or dispute process.</w:t>
      </w:r>
    </w:p>
    <w:p>
      <w:pPr>
        <w:pStyle w:val="Heading1"/>
      </w:pPr>
      <w:r>
        <w:t>16. Effective date and contact</w:t>
      </w:r>
    </w:p>
    <w:p>
      <w:pPr>
        <w:widowControl/>
      </w:pPr>
      <w:r>
        <w:t>Document ID: creator-license-2026-07-21. These terms take effect when the signed Rights and Operator Authority Declaration is on file, these terms are presented for acceptance in Flow, and the acceptance is recorded in a Grant Record. Questions and legal notices: founder@virzyguns.com or the Operator's registered office stated in Section 1.</w:t>
      </w:r>
    </w:p>
    <w:sectPr w:rsidR="00FC693F" w:rsidRPr="0006063C" w:rsidSect="00034616">
      <w:headerReference w:type="default" r:id="rId9"/>
      <w:footerReference w:type="default" r:id="rId10"/>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D687A"/>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D687A"/>
        <w:sz w:val="16"/>
      </w:rPr>
      <w:t>FLOW CREATOR MUSIC  |  creator-license-2026-07-21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59" w:lineRule="auto"/>
    </w:pPr>
    <w:rPr>
      <w:rFonts w:ascii="Calibri" w:hAnsi="Calibri"/>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 Creator Music - CREATOR MUSIC LICENSE</dc:title>
  <dc:subject>Public creator synchronization license terms</dc:subject>
  <dc:creator>PT KREASI VIRZY NUSANTARA</dc:creator>
  <cp:keywords>Flow Creator Music; creator license; synchronization license</cp:keywords>
  <dc:description>generated by python-docx</dc:description>
  <cp:lastModifiedBy>PT KREASI VIRZY NUSANTARA</cp:lastModifiedBy>
  <cp:revision>1</cp:revision>
  <dcterms:created xsi:type="dcterms:W3CDTF">2013-12-23T23:15:00Z</dcterms:created>
  <dcterms:modified xsi:type="dcterms:W3CDTF">2013-12-23T23:15:00Z</dcterms:modified>
  <cp:category/>
</cp:coreProperties>
</file>