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JANSAHABHAG 2047</w:t>
      </w:r>
    </w:p>
    <w:p>
      <w:pPr>
        <w:pStyle w:val="Title"/>
        <w:jc w:val="center"/>
      </w:pPr>
      <w:r>
        <w:t>Supplementary Product Requirements Document (PRD)</w:t>
      </w:r>
    </w:p>
    <w:p>
      <w:pPr>
        <w:jc w:val="center"/>
      </w:pPr>
      <w:r>
        <w:rPr>
          <w:b/>
          <w:sz w:val="26"/>
        </w:rPr>
        <w:t>Mandatory 33% Women’s Reservation Across Applicable Platform Activities</w:t>
      </w:r>
    </w:p>
    <w:p>
      <w:pPr>
        <w:jc w:val="center"/>
      </w:pPr>
      <w:r>
        <w:t>Version 2.0 | Status: Proposed product requirement — owner approval required</w:t>
      </w:r>
    </w:p>
    <w:p>
      <w:r>
        <w:t>Purpose: give the developer one clear product-level specification for the 33% women’s reservation change. This supplementary PRD extends the existing JanSahabhag 2047 Master PRD; it does not replace it and does not claim that the requirement is already implemented on the live website.</w:t>
      </w:r>
    </w:p>
    <w:p>
      <w:pPr>
        <w:pStyle w:val="Heading1"/>
      </w:pPr>
      <w:r>
        <w:t>1. Product Objective</w:t>
      </w:r>
    </w:p>
    <w:p>
      <w:r>
        <w:t>JanSahabhag 2047 must support a minimum 33% reservation for women wherever the platform allocates a defined number of participant places, representative seats, cohort places, or formal positions. The requirement is cross-cutting: it must not be confined to Youth Parliament or to a single event page.</w:t>
      </w:r>
    </w:p>
    <w:p>
      <w:pPr>
        <w:pStyle w:val="Heading1"/>
      </w:pPr>
      <w:r>
        <w:t>2. Mandatory Scope Across the Platform</w:t>
      </w:r>
    </w:p>
    <w:p>
      <w:r>
        <w:t>Apply the rule to every relevant current or future activity that allocates places or formal roles, including:</w:t>
      </w:r>
    </w:p>
    <w:p>
      <w:pPr>
        <w:pStyle w:val="ListBullet"/>
      </w:pPr>
      <w:r>
        <w:t>Youth Parliament: allocated seats, delegations, committees, and formal positions.</w:t>
      </w:r>
    </w:p>
    <w:p>
      <w:pPr>
        <w:pStyle w:val="ListBullet"/>
      </w:pPr>
      <w:r>
        <w:t>Youth Assembly: allocated representative places and formal roles.</w:t>
      </w:r>
    </w:p>
    <w:p>
      <w:pPr>
        <w:pStyle w:val="ListBullet"/>
      </w:pPr>
      <w:r>
        <w:t>Debate Room: selected participants and allocated formal roles where applicable.</w:t>
      </w:r>
    </w:p>
    <w:p>
      <w:pPr>
        <w:pStyle w:val="ListBullet"/>
      </w:pPr>
      <w:r>
        <w:t>Events, programmes, competitions, workshops, panels, committees, and organised cohorts with limited places.</w:t>
      </w:r>
    </w:p>
    <w:p>
      <w:pPr>
        <w:pStyle w:val="ListBullet"/>
      </w:pPr>
      <w:r>
        <w:t>Institutional, district, regional, state, and national delegations or representative groups.</w:t>
      </w:r>
    </w:p>
    <w:p>
      <w:pPr>
        <w:pStyle w:val="ListBullet"/>
      </w:pPr>
      <w:r>
        <w:t>Any other platform module that allocates a defined number of participant places or formal positions.</w:t>
      </w:r>
    </w:p>
    <w:p>
      <w:pPr>
        <w:pStyle w:val="ListBullet"/>
      </w:pPr>
      <w:r>
        <w:t>Applicable rulebooks, organiser workflows, moderator tools, Platform Owner controls, validation, reporting, and audit logs.</w:t>
      </w:r>
    </w:p>
    <w:p>
      <w:pPr>
        <w:pStyle w:val="ListBullet"/>
      </w:pPr>
      <w:r>
        <w:t>Relevant demo IDs/accounts and fictional demo scenarios, to demonstrate the intended behaviour.</w:t>
      </w:r>
    </w:p>
    <w:p>
      <w:r>
        <w:t>Scope distinction: open participation without allocated seats or formal positions is not itself a seat-allocation workflow. If an open activity selects a limited cohort, assigns representatives, or allocates formal roles, the reservation rule applies to those allocated places where relevant.</w:t>
      </w:r>
    </w:p>
    <w:p>
      <w:pPr>
        <w:pStyle w:val="Heading1"/>
      </w:pPr>
      <w:r>
        <w:t>3. Rulebooks Must State the Requirement</w:t>
      </w:r>
    </w:p>
    <w:p>
      <w:r>
        <w:t>Every applicable rulebook must explicitly state the minimum 33% women’s reservation requirement for the types of allocated places or formal positions covered by that activity. This includes, where applicable, Youth Parliament, Youth Assembly, Debate Room, events, programmes, competitions, committees, delegations, and any other module with allocation or selection workflows.</w:t>
      </w:r>
    </w:p>
    <w:p>
      <w:r>
        <w:t>Updating rulebook text alone is insufficient. The associated selection or allocation workflow must also enforce the approved rule. The rulebook and software behaviour must remain consistent.</w:t>
      </w:r>
    </w:p>
    <w:p>
      <w:pPr>
        <w:pStyle w:val="Heading1"/>
      </w:pPr>
      <w:r>
        <w:t>4. Demo IDs and Demo Scenarios</w:t>
      </w:r>
    </w:p>
    <w:p>
      <w:pPr>
        <w:pStyle w:val="ListBullet"/>
      </w:pPr>
      <w:r>
        <w:t>Use fictional demo data only and clearly label demo records as DEMO.</w:t>
      </w:r>
    </w:p>
    <w:p>
      <w:pPr>
        <w:pStyle w:val="ListBullet"/>
      </w:pPr>
      <w:r>
        <w:t>Include relevant demo scenarios showing a compliant allocation and a non-compliant allocation.</w:t>
      </w:r>
    </w:p>
    <w:p>
      <w:pPr>
        <w:pStyle w:val="ListBullet"/>
      </w:pPr>
      <w:r>
        <w:t>Demonstrate the calculated minimum and the validation outcome in applicable Youth Parliament, Youth Assembly, and event/programme or competition flows.</w:t>
      </w:r>
    </w:p>
    <w:p>
      <w:pPr>
        <w:pStyle w:val="ListBullet"/>
      </w:pPr>
      <w:r>
        <w:t>Demo accounts must not have an undocumented bypass. If an exception scenario is shown, label it clearly and use the same approved, auditable exception workflow intended for the product.</w:t>
      </w:r>
    </w:p>
    <w:p>
      <w:pPr>
        <w:pStyle w:val="ListBullet"/>
      </w:pPr>
      <w:r>
        <w:t>Clearly distinguish functional enforcement from clickable prototype behaviour; do not present a visual mock-up as working enforcement.</w:t>
      </w:r>
    </w:p>
    <w:p>
      <w:pPr>
        <w:pStyle w:val="Heading1"/>
      </w:pPr>
      <w:r>
        <w:t>5. Moderator and Administrator Behaviour</w:t>
      </w:r>
    </w:p>
    <w:p>
      <w:pPr>
        <w:pStyle w:val="ListBullet"/>
      </w:pPr>
      <w:r>
        <w:t>The same reservation rule must apply regardless of whether an allocation is created by an organiser, moderator, institution administrator, or Platform Owner.</w:t>
      </w:r>
    </w:p>
    <w:p>
      <w:pPr>
        <w:pStyle w:val="ListBullet"/>
      </w:pPr>
      <w:r>
        <w:t>Moderators must not be able to silently bypass the requirement through the interface or API.</w:t>
      </w:r>
    </w:p>
    <w:p>
      <w:pPr>
        <w:pStyle w:val="ListBullet"/>
      </w:pPr>
      <w:r>
        <w:t>An exception may exist only if the product owner explicitly approves an exception policy. If enabled, only specifically authorised roles may approve it.</w:t>
      </w:r>
    </w:p>
    <w:p>
      <w:pPr>
        <w:pStyle w:val="ListBullet"/>
      </w:pPr>
      <w:r>
        <w:t>Any exception must record the reason, approver, timestamp, policy version, and allocation outcome.</w:t>
      </w:r>
    </w:p>
    <w:p>
      <w:pPr>
        <w:pStyle w:val="ListBullet"/>
      </w:pPr>
      <w:r>
        <w:t>Enforce permissions and validation server-side; hiding a button in the interface is not sufficient.</w:t>
      </w:r>
    </w:p>
    <w:p>
      <w:pPr>
        <w:pStyle w:val="ListBullet"/>
      </w:pPr>
      <w:r>
        <w:t>Policy changes and relevant override attempts must be auditable.</w:t>
      </w:r>
    </w:p>
    <w:p>
      <w:pPr>
        <w:pStyle w:val="Heading1"/>
      </w:pPr>
      <w:r>
        <w:t>6. Product Behaviour and Allocation Rules</w:t>
      </w:r>
    </w:p>
    <w:p>
      <w:r>
        <w:t>For every in-scope activity, the product must identify the relevant allocation total, calculate the minimum reserved places using an owner-approved formula, show the organiser the applicable requirement, and check the allocation before it is finalised. Proposed calculation: ceiling(total applicable allocated places × 0.33). The denominator and rounding method require owner approval, particularly for very small activities.</w:t>
      </w:r>
    </w:p>
    <w:p>
      <w:pPr>
        <w:pStyle w:val="ListBullet"/>
      </w:pPr>
      <w:r>
        <w:t>Recalculate and revalidate if the number of positions changes or selections, withdrawals, or replacements alter compliance.</w:t>
      </w:r>
    </w:p>
    <w:p>
      <w:pPr>
        <w:pStyle w:val="ListBullet"/>
      </w:pPr>
      <w:r>
        <w:t>Do not silently change the denominator or report an allocation as compliant when it does not meet the approved rule.</w:t>
      </w:r>
    </w:p>
    <w:p>
      <w:pPr>
        <w:pStyle w:val="ListBullet"/>
      </w:pPr>
      <w:r>
        <w:t>If exceptions are approved as a product policy, display that an exception was used rather than presenting it as ordinary compliance.</w:t>
      </w:r>
    </w:p>
    <w:p>
      <w:pPr>
        <w:pStyle w:val="ListBullet"/>
      </w:pPr>
      <w:r>
        <w:t>Keep the rule consistent across current modules and any future module that allocates places or formal positions.</w:t>
      </w:r>
    </w:p>
    <w:p>
      <w:pPr>
        <w:pStyle w:val="Heading1"/>
      </w:pPr>
      <w:r>
        <w:t>7. Privacy and Fair Treatment</w:t>
      </w:r>
    </w:p>
    <w:p>
      <w:pPr>
        <w:pStyle w:val="ListBullet"/>
      </w:pPr>
      <w:r>
        <w:t>Collect and process only the information necessary to administer the approved rule.</w:t>
      </w:r>
    </w:p>
    <w:p>
      <w:pPr>
        <w:pStyle w:val="ListBullet"/>
      </w:pPr>
      <w:r>
        <w:t>Do not infer gender from names, photographs, voices, or other proxies.</w:t>
      </w:r>
    </w:p>
    <w:p>
      <w:pPr>
        <w:pStyle w:val="ListBullet"/>
      </w:pPr>
      <w:r>
        <w:t>Do not publicly disclose an individual's gender information merely to display aggregate compliance.</w:t>
      </w:r>
    </w:p>
    <w:p>
      <w:pPr>
        <w:pStyle w:val="ListBullet"/>
      </w:pPr>
      <w:r>
        <w:t>Limit access to individual-level information to authorised roles and apply appropriate retention and security controls.</w:t>
      </w:r>
    </w:p>
    <w:p>
      <w:pPr>
        <w:pStyle w:val="ListBullet"/>
      </w:pPr>
      <w:r>
        <w:t>Do not apply seat-allocation logic to open participation when no places or formal positions are allocated.</w:t>
      </w:r>
    </w:p>
    <w:p>
      <w:pPr>
        <w:pStyle w:val="Heading1"/>
      </w:pPr>
      <w:r>
        <w:t>8. Acceptance Criteria</w:t>
      </w:r>
    </w:p>
    <w:p>
      <w:pPr>
        <w:pStyle w:val="ListNumber"/>
      </w:pPr>
      <w:r>
        <w:t>The requirement is explicitly documented in every applicable rulebook.</w:t>
      </w:r>
    </w:p>
    <w:p>
      <w:pPr>
        <w:pStyle w:val="ListNumber"/>
      </w:pPr>
      <w:r>
        <w:t>The relevant allocation workflow enforces the requirement; documentation alone is not treated as implementation.</w:t>
      </w:r>
    </w:p>
    <w:p>
      <w:pPr>
        <w:pStyle w:val="ListNumber"/>
      </w:pPr>
      <w:r>
        <w:t>Relevant demo IDs demonstrate compliant and non-compliant allocation scenarios using fictional data.</w:t>
      </w:r>
    </w:p>
    <w:p>
      <w:pPr>
        <w:pStyle w:val="ListNumber"/>
      </w:pPr>
      <w:r>
        <w:t>The rule applies consistently across Youth Parliament, Youth Assembly, Debate Room, events, programmes, competitions, delegations, and all other in-scope modules.</w:t>
      </w:r>
    </w:p>
    <w:p>
      <w:pPr>
        <w:pStyle w:val="ListNumber"/>
      </w:pPr>
      <w:r>
        <w:t>Moderators and administrators cannot silently bypass the rule through UI or API.</w:t>
      </w:r>
    </w:p>
    <w:p>
      <w:pPr>
        <w:pStyle w:val="ListNumber"/>
      </w:pPr>
      <w:r>
        <w:t>Any approved exception is permission-controlled and auditable.</w:t>
      </w:r>
    </w:p>
    <w:p>
      <w:pPr>
        <w:pStyle w:val="ListNumber"/>
      </w:pPr>
      <w:r>
        <w:t>Changes in allocation totals, withdrawals, or replacements trigger recalculation and revalidation.</w:t>
      </w:r>
    </w:p>
    <w:p>
      <w:pPr>
        <w:pStyle w:val="ListNumber"/>
      </w:pPr>
      <w:r>
        <w:t>Compliance reporting does not unnecessarily expose individual gender information.</w:t>
      </w:r>
    </w:p>
    <w:p>
      <w:pPr>
        <w:pStyle w:val="ListNumber"/>
      </w:pPr>
      <w:r>
        <w:t>Open activities with no allocated seats or formal roles are not incorrectly blocked.</w:t>
      </w:r>
    </w:p>
    <w:p>
      <w:pPr>
        <w:pStyle w:val="ListNumber"/>
      </w:pPr>
      <w:r>
        <w:t>The developer supplies a module-by-module and rulebook-by-rulebook coverage checklist with test evidence.</w:t>
      </w:r>
    </w:p>
    <w:p>
      <w:pPr>
        <w:pStyle w:val="Heading1"/>
      </w:pPr>
      <w:r>
        <w:t>9. Product-Owner Decisions Required</w:t>
      </w:r>
    </w:p>
    <w:p>
      <w:pPr>
        <w:pStyle w:val="ListNumber"/>
      </w:pPr>
      <w:r>
        <w:t>Confirm the rule as a platform-wide minimum for all applicable allocated places and formal positions.</w:t>
      </w:r>
    </w:p>
    <w:p>
      <w:pPr>
        <w:pStyle w:val="ListNumber"/>
      </w:pPr>
      <w:r>
        <w:t>Approve the denominator and rounding method, especially for activities with only 1–3 positions.</w:t>
      </w:r>
    </w:p>
    <w:p>
      <w:pPr>
        <w:pStyle w:val="ListNumber"/>
      </w:pPr>
      <w:r>
        <w:t>Decide whether exceptions are permitted, who can approve them, and how unfilled reserved places are handled.</w:t>
      </w:r>
    </w:p>
    <w:p>
      <w:pPr>
        <w:pStyle w:val="ListNumber"/>
      </w:pPr>
      <w:r>
        <w:t>Approve how gender information is declared, protected, accessed, and retained.</w:t>
      </w:r>
    </w:p>
    <w:p>
      <w:pPr>
        <w:pStyle w:val="ListNumber"/>
      </w:pPr>
      <w:r>
        <w:t>Confirm any activity-specific cases that should be treated differently.</w:t>
      </w:r>
    </w:p>
    <w:p>
      <w:pPr>
        <w:pStyle w:val="ListNumber"/>
      </w:pPr>
      <w:r>
        <w:t>Obtain appropriate legal review before public launch; this PRD describes a proposed product policy and does not assert that the same legal requirement applies universally.</w:t>
      </w:r>
    </w:p>
    <w:p>
      <w:pPr>
        <w:pStyle w:val="Heading1"/>
      </w:pPr>
      <w:r>
        <w:t>10. Implementation Guidance</w:t>
      </w:r>
    </w:p>
    <w:p>
      <w:r>
        <w:t>Treat the reservation as a shared product rule, not a collection of disconnected page-level changes. Update applicable rulebooks, selection workflows, moderator permissions, demo scenarios, validation, and reporting together. For the current demo, clearly identify what is functional and what is illustrative. Before marking the change complete, verify every in-scope module and rulebook against the acceptance criteria.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JanSahabhag 2047 | Supplementary PRD — 33% Women’s Reservation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