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JanSahabhag 2047</w:t>
        <w:br/>
        <w:t>Cleaned Developer Start-Here Note</w:t>
      </w:r>
    </w:p>
    <w:p>
      <w:pPr>
        <w:jc w:val="center"/>
      </w:pPr>
      <w:r>
        <w:rPr>
          <w:i/>
          <w:sz w:val="18"/>
        </w:rPr>
        <w:t>Purpose: separate demo scope, later-phase requirements, verified facts, and assumptions before implementation.</w:t>
      </w:r>
    </w:p>
    <w:p>
      <w:pPr>
        <w:pStyle w:val="Heading1"/>
      </w:pPr>
      <w:r>
        <w:t>1. Decision first: do not implement the previous gap list literally</w:t>
      </w:r>
    </w:p>
    <w:p>
      <w:r>
        <w:t>The earlier “Website vs. PRD Gap Analysis” is a preliminary issue list, not a verified audit. It repeatedly uses “likely,” “may,” and “doesn’t seem,” then turns those guesses into instructions. Do not treat those statements as confirmed defects or as a requirement to build every item for the demo.</w:t>
      </w:r>
    </w:p>
    <w:p>
      <w:r>
        <w:t>Governing source: JanSahabhag_2047_MASTER_PRD_v3.1_LOSSLESS_ARCHIVE.docx, with the canonical specification at the front. The historical source appendices preserve earlier wording; they are not all independently governing requirements. Use the Developer Handover as a supplement, not a replacement. Where documents conflict, record the conflict and ask for a decision—do not silently merge them.</w:t>
      </w:r>
    </w:p>
    <w:p>
      <w:pPr>
        <w:pStyle w:val="Heading1"/>
      </w:pPr>
      <w:r>
        <w:t>2. What “interconnected” should mean</w:t>
      </w:r>
    </w:p>
    <w:p>
      <w:r>
        <w:t>“Interconnected” does not mean every module must be fully built or every feature must call every other feature. It means the core demo journey shares the same user/session/content records and passes context between steps, instead of behaving like unrelated static pages.</w:t>
      </w:r>
    </w:p>
    <w:p>
      <w:pPr>
        <w:pStyle w:val="ListBullet"/>
      </w:pPr>
      <w:r>
        <w:t>A signed-in demo participant opens an assignment, saves/submits a response, and can see its status.</w:t>
      </w:r>
    </w:p>
    <w:p>
      <w:pPr>
        <w:pStyle w:val="ListBullet"/>
      </w:pPr>
      <w:r>
        <w:t>The participant enters a live-session experience; switching its format to Debate Room, Youth Assembly, or Youth Parliament preserves the session identity and relevant agenda/context where that flow is part of the demo.</w:t>
      </w:r>
    </w:p>
    <w:p>
      <w:pPr>
        <w:pStyle w:val="ListBullet"/>
      </w:pPr>
      <w:r>
        <w:t>A proposition or observation created during the session can be linked to its source session and carried into the next step of the LEARN → OBSERVE → DELIBERATE → PROPOSE → REFLECT loop.</w:t>
      </w:r>
    </w:p>
    <w:p>
      <w:pPr>
        <w:pStyle w:val="ListBullet"/>
      </w:pPr>
      <w:r>
        <w:t>A completed, reviewed contribution can appear in the participant’s Civic Passport as evidence with a clear status. Do not fabricate credits or imply verification where none occurred.</w:t>
      </w:r>
    </w:p>
    <w:p>
      <w:pPr>
        <w:pStyle w:val="ListBullet"/>
      </w:pPr>
      <w:r>
        <w:t>The same role/permission checks apply across routes and API actions; hiding a button alone is not authorization.</w:t>
      </w:r>
    </w:p>
    <w:p>
      <w:r>
        <w:t>For a demo, this can be implemented with a small, seeded dataset and a limited number of end-to-end flows. It does not require production-scale integrations, every future module, or a complete real-time video system unless explicitly selected as a demo acceptance criterion.</w:t>
      </w:r>
    </w:p>
    <w:p>
      <w:pPr>
        <w:pStyle w:val="Heading1"/>
      </w:pPr>
      <w:r>
        <w:t>3. Demo scope versus later phases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Classification</w:t>
            </w:r>
          </w:p>
        </w:tc>
        <w:tc>
          <w:tcPr>
            <w:tcW w:type="dxa" w:w="2520"/>
          </w:tcPr>
          <w:p>
            <w:r>
              <w:t>Meaning</w:t>
            </w:r>
          </w:p>
        </w:tc>
        <w:tc>
          <w:tcPr>
            <w:tcW w:type="dxa" w:w="2520"/>
          </w:tcPr>
          <w:p>
            <w:r>
              <w:t>Examples</w:t>
            </w:r>
          </w:p>
        </w:tc>
        <w:tc>
          <w:tcPr>
            <w:tcW w:type="dxa" w:w="2520"/>
          </w:tcPr>
          <w:p>
            <w:r>
              <w:t>Developer action</w:t>
            </w:r>
          </w:p>
        </w:tc>
      </w:tr>
      <w:tr>
        <w:tc>
          <w:tcPr>
            <w:tcW w:type="dxa" w:w="2520"/>
          </w:tcPr>
          <w:p>
            <w:r>
              <w:t>Demo-critical</w:t>
            </w:r>
          </w:p>
        </w:tc>
        <w:tc>
          <w:tcPr>
            <w:tcW w:type="dxa" w:w="2520"/>
          </w:tcPr>
          <w:p>
            <w:r>
              <w:t>Must work end-to-end in the agreed demonstration.</w:t>
            </w:r>
          </w:p>
        </w:tc>
        <w:tc>
          <w:tcPr>
            <w:tcW w:type="dxa" w:w="2520"/>
          </w:tcPr>
          <w:p>
            <w:r>
              <w:t>Sign-in/demo identity; one assignment submission; one structured session; proposition/dissent capture; basic Passport evidence/status.</w:t>
            </w:r>
          </w:p>
        </w:tc>
        <w:tc>
          <w:tcPr>
            <w:tcW w:type="dxa" w:w="2520"/>
          </w:tcPr>
          <w:p>
            <w:r>
              <w:t>Build and test the smallest complete journey.</w:t>
            </w:r>
          </w:p>
        </w:tc>
      </w:tr>
      <w:tr>
        <w:tc>
          <w:tcPr>
            <w:tcW w:type="dxa" w:w="2520"/>
          </w:tcPr>
          <w:p>
            <w:r>
              <w:t>Demo-visible prototype</w:t>
            </w:r>
          </w:p>
        </w:tc>
        <w:tc>
          <w:tcPr>
            <w:tcW w:type="dxa" w:w="2520"/>
          </w:tcPr>
          <w:p>
            <w:r>
              <w:t>The concept can be demonstrated honestly, but is not production-integrated.</w:t>
            </w:r>
          </w:p>
        </w:tc>
        <w:tc>
          <w:tcPr>
            <w:tcW w:type="dxa" w:w="2520"/>
          </w:tcPr>
          <w:p>
            <w:r>
              <w:t>Stakeholder routing; advanced AI assistance; advanced analytics; integrations not yet configured.</w:t>
            </w:r>
          </w:p>
        </w:tc>
        <w:tc>
          <w:tcPr>
            <w:tcW w:type="dxa" w:w="2520"/>
          </w:tcPr>
          <w:p>
            <w:r>
              <w:t>Label as prototype/demo; do not imply real external processing.</w:t>
            </w:r>
          </w:p>
        </w:tc>
      </w:tr>
      <w:tr>
        <w:tc>
          <w:tcPr>
            <w:tcW w:type="dxa" w:w="2520"/>
          </w:tcPr>
          <w:p>
            <w:r>
              <w:t>Production / later phase</w:t>
            </w:r>
          </w:p>
        </w:tc>
        <w:tc>
          <w:tcPr>
            <w:tcW w:type="dxa" w:w="2520"/>
          </w:tcPr>
          <w:p>
            <w:r>
              <w:t>Required by the broader product, not automatically required for the first demo.</w:t>
            </w:r>
          </w:p>
        </w:tc>
        <w:tc>
          <w:tcPr>
            <w:tcW w:type="dxa" w:w="2520"/>
          </w:tcPr>
          <w:p>
            <w:r>
              <w:t>Scale targets, robust offline queueing, full provider integrations, advanced moderation analytics, extensive multilingual content rollout.</w:t>
            </w:r>
          </w:p>
        </w:tc>
        <w:tc>
          <w:tcPr>
            <w:tcW w:type="dxa" w:w="2520"/>
          </w:tcPr>
          <w:p>
            <w:r>
              <w:t>Record backlog, dependencies, risks, and acceptance criteria.</w:t>
            </w:r>
          </w:p>
        </w:tc>
      </w:tr>
      <w:tr>
        <w:tc>
          <w:tcPr>
            <w:tcW w:type="dxa" w:w="2520"/>
          </w:tcPr>
          <w:p>
            <w:r>
              <w:t>Owner decision / unresolved</w:t>
            </w:r>
          </w:p>
        </w:tc>
        <w:tc>
          <w:tcPr>
            <w:tcW w:type="dxa" w:w="2520"/>
          </w:tcPr>
          <w:p>
            <w:r>
              <w:t>Cannot be safely inferred from the documents.</w:t>
            </w:r>
          </w:p>
        </w:tc>
        <w:tc>
          <w:tcPr>
            <w:tcW w:type="dxa" w:w="2520"/>
          </w:tcPr>
          <w:p>
            <w:r>
              <w:t>Founder public details; final domain/branding; content licensing; which advanced features must be live in the demo.</w:t>
            </w:r>
          </w:p>
        </w:tc>
        <w:tc>
          <w:tcPr>
            <w:tcW w:type="dxa" w:w="2520"/>
          </w:tcPr>
          <w:p>
            <w:r>
              <w:t>Ask for a decision; use neutral placeholders only when approved.</w:t>
            </w:r>
          </w:p>
        </w:tc>
      </w:tr>
    </w:tbl>
    <w:p>
      <w:pPr>
        <w:pStyle w:val="Heading1"/>
      </w:pPr>
      <w:r>
        <w:t>4. Corrections to unsupported or risky claims in the earlier gap analysis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Earlier claim/instruction</w:t>
            </w:r>
          </w:p>
        </w:tc>
        <w:tc>
          <w:tcPr>
            <w:tcW w:type="dxa" w:w="3360"/>
          </w:tcPr>
          <w:p>
            <w:r>
              <w:t>Why it is not safe to treat as confirmed</w:t>
            </w:r>
          </w:p>
        </w:tc>
        <w:tc>
          <w:tcPr>
            <w:tcW w:type="dxa" w:w="3360"/>
          </w:tcPr>
          <w:p>
            <w:r>
              <w:t>Correct handling</w:t>
            </w:r>
          </w:p>
        </w:tc>
      </w:tr>
      <w:tr>
        <w:tc>
          <w:tcPr>
            <w:tcW w:type="dxa" w:w="3360"/>
          </w:tcPr>
          <w:p>
            <w:r>
              <w:t>Founder profile must show founder name, photo, email/contact and bio.</w:t>
            </w:r>
          </w:p>
        </w:tc>
        <w:tc>
          <w:tcPr>
            <w:tcW w:type="dxa" w:w="3360"/>
          </w:tcPr>
          <w:p>
            <w:r>
              <w:t>The project notes explicitly say not to invent founder identity/contact details and to keep fields unpublished until owner approval.</w:t>
            </w:r>
          </w:p>
        </w:tc>
        <w:tc>
          <w:tcPr>
            <w:tcW w:type="dxa" w:w="3360"/>
          </w:tcPr>
          <w:p>
            <w:r>
              <w:t>Make owner profile fields configurable. Keep unpublished until supplied and approved.</w:t>
            </w:r>
          </w:p>
        </w:tc>
      </w:tr>
      <w:tr>
        <w:tc>
          <w:tcPr>
            <w:tcW w:type="dxa" w:w="3360"/>
          </w:tcPr>
          <w:p>
            <w:r>
              <w:t>Create a reserved owner email or let the owner set up super-admin at first launch.</w:t>
            </w:r>
          </w:p>
        </w:tc>
        <w:tc>
          <w:tcPr>
            <w:tcW w:type="dxa" w:w="3360"/>
          </w:tcPr>
          <w:p>
            <w:r>
              <w:t>Specific account identity and bootstrap process are security-sensitive and not established by the website-only evidence.</w:t>
            </w:r>
          </w:p>
        </w:tc>
        <w:tc>
          <w:tcPr>
            <w:tcW w:type="dxa" w:w="3360"/>
          </w:tcPr>
          <w:p>
            <w:r>
              <w:t>Specify a secure, documented owner bootstrap procedure; never hard-code or expose credentials.</w:t>
            </w:r>
          </w:p>
        </w:tc>
      </w:tr>
      <w:tr>
        <w:tc>
          <w:tcPr>
            <w:tcW w:type="dxa" w:w="3360"/>
          </w:tcPr>
          <w:p>
            <w:r>
              <w:t>Use a 12+ age gate and retain data for 7 years.</w:t>
            </w:r>
          </w:p>
        </w:tc>
        <w:tc>
          <w:tcPr>
            <w:tcW w:type="dxa" w:w="3360"/>
          </w:tcPr>
          <w:p>
            <w:r>
              <w:t>These exact rules are not established by the supplied governing requirements; retention and age/guardian rules require qualified legal review.</w:t>
            </w:r>
          </w:p>
        </w:tc>
        <w:tc>
          <w:tcPr>
            <w:tcW w:type="dxa" w:w="3360"/>
          </w:tcPr>
          <w:p>
            <w:r>
              <w:t>Do not hard-code ages or retention periods from the gap list. Make policy decisions explicit and obtain legal/safeguarding approval.</w:t>
            </w:r>
          </w:p>
        </w:tc>
      </w:tr>
      <w:tr>
        <w:tc>
          <w:tcPr>
            <w:tcW w:type="dxa" w:w="3360"/>
          </w:tcPr>
          <w:p>
            <w:r>
              <w:t>Apply GDPR wording/requirements as if automatically applicable.</w:t>
            </w:r>
          </w:p>
        </w:tc>
        <w:tc>
          <w:tcPr>
            <w:tcW w:type="dxa" w:w="3360"/>
          </w:tcPr>
          <w:p>
            <w:r>
              <w:t>Applicability depends on context and should not be asserted without legal review.</w:t>
            </w:r>
          </w:p>
        </w:tc>
        <w:tc>
          <w:tcPr>
            <w:tcW w:type="dxa" w:w="3360"/>
          </w:tcPr>
          <w:p>
            <w:r>
              <w:t>Document relevant Indian-law review and any other applicable regimes after counsel confirms them.</w:t>
            </w:r>
          </w:p>
        </w:tc>
      </w:tr>
      <w:tr>
        <w:tc>
          <w:tcPr>
            <w:tcW w:type="dxa" w:w="3360"/>
          </w:tcPr>
          <w:p>
            <w:r>
              <w:t>Only invited/pre-approved users may join Assembly or Parliament.</w:t>
            </w:r>
          </w:p>
        </w:tc>
        <w:tc>
          <w:tcPr>
            <w:tcW w:type="dxa" w:w="3360"/>
          </w:tcPr>
          <w:p>
            <w:r>
              <w:t>This may conflict with the product’s open/general participation model and mixed-category participation.</w:t>
            </w:r>
          </w:p>
        </w:tc>
        <w:tc>
          <w:tcPr>
            <w:tcW w:type="dxa" w:w="3360"/>
          </w:tcPr>
          <w:p>
            <w:r>
              <w:t>Use the specific event’s access policy: open, request-to-join, invite-only, or institution-restricted. Do not impose one universal rule.</w:t>
            </w:r>
          </w:p>
        </w:tc>
      </w:tr>
      <w:tr>
        <w:tc>
          <w:tcPr>
            <w:tcW w:type="dxa" w:w="3360"/>
          </w:tcPr>
          <w:p>
            <w:r>
              <w:t>Require video/audio conferencing for the session modules.</w:t>
            </w:r>
          </w:p>
        </w:tc>
        <w:tc>
          <w:tcPr>
            <w:tcW w:type="dxa" w:w="3360"/>
          </w:tcPr>
          <w:p>
            <w:r>
              <w:t>The product baseline allows video to be optional and requires text/audio fallback and low-bandwidth support.</w:t>
            </w:r>
          </w:p>
        </w:tc>
        <w:tc>
          <w:tcPr>
            <w:tcW w:type="dxa" w:w="3360"/>
          </w:tcPr>
          <w:p>
            <w:r>
              <w:t>Make video optional unless a demo requirement explicitly says otherwise; provide a workable text-first path.</w:t>
            </w:r>
          </w:p>
        </w:tc>
      </w:tr>
      <w:tr>
        <w:tc>
          <w:tcPr>
            <w:tcW w:type="dxa" w:w="3360"/>
          </w:tcPr>
          <w:p>
            <w:r>
              <w:t>Add seating animations, government/opposition benches, portfolios, and specific voting mechanics.</w:t>
            </w:r>
          </w:p>
        </w:tc>
        <w:tc>
          <w:tcPr>
            <w:tcW w:type="dxa" w:w="3360"/>
          </w:tcPr>
          <w:p>
            <w:r>
              <w:t>These details are not automatically justified by the current canonical requirements; some may be historical or invented elaborations.</w:t>
            </w:r>
          </w:p>
        </w:tc>
        <w:tc>
          <w:tcPr>
            <w:tcW w:type="dxa" w:w="3360"/>
          </w:tcPr>
          <w:p>
            <w:r>
              <w:t>Implement only the approved simulation workflow and rules. Log unresolved procedural choices for owner confirmation.</w:t>
            </w:r>
          </w:p>
        </w:tc>
      </w:tr>
      <w:tr>
        <w:tc>
          <w:tcPr>
            <w:tcW w:type="dxa" w:w="3360"/>
          </w:tcPr>
          <w:p>
            <w:r>
              <w:t>Automatically award credits or show dummy credit totals.</w:t>
            </w:r>
          </w:p>
        </w:tc>
        <w:tc>
          <w:tcPr>
            <w:tcW w:type="dxa" w:w="3360"/>
          </w:tcPr>
          <w:p>
            <w:r>
              <w:t>The Passport/Civic Credits design is evidence-based and explicitly avoids a generic civic-worth score and gaming incentives.</w:t>
            </w:r>
          </w:p>
        </w:tc>
        <w:tc>
          <w:tcPr>
            <w:tcW w:type="dxa" w:w="3360"/>
          </w:tcPr>
          <w:p>
            <w:r>
              <w:t>For demo data, label it DEMO. Show evidence/status; award credits only through the approved, auditable rule or label any mock values clearly.</w:t>
            </w:r>
          </w:p>
        </w:tc>
      </w:tr>
      <w:tr>
        <w:tc>
          <w:tcPr>
            <w:tcW w:type="dxa" w:w="3360"/>
          </w:tcPr>
          <w:p>
            <w:r>
              <w:t>Create placeholders or TODO comments for every missing feature and treat all items as immediate implementation work.</w:t>
            </w:r>
          </w:p>
        </w:tc>
        <w:tc>
          <w:tcPr>
            <w:tcW w:type="dxa" w:w="3360"/>
          </w:tcPr>
          <w:p>
            <w:r>
              <w:t>A placeholder is not a working feature, and the full product scope is larger than the demo scope.</w:t>
            </w:r>
          </w:p>
        </w:tc>
        <w:tc>
          <w:tcPr>
            <w:tcW w:type="dxa" w:w="3360"/>
          </w:tcPr>
          <w:p>
            <w:r>
              <w:t>Keep a traceable backlog with phase, dependency, acceptance test, and status. Do not represent a TODO as delivered.</w:t>
            </w:r>
          </w:p>
        </w:tc>
      </w:tr>
      <w:tr>
        <w:tc>
          <w:tcPr>
            <w:tcW w:type="dxa" w:w="3360"/>
          </w:tcPr>
          <w:p>
            <w:r>
              <w:t>Assume every feature listed is absent because it is not visible on the dashboard.</w:t>
            </w:r>
          </w:p>
        </w:tc>
        <w:tc>
          <w:tcPr>
            <w:tcW w:type="dxa" w:w="3360"/>
          </w:tcPr>
          <w:p>
            <w:r>
              <w:t>A dashboard view cannot establish whether another route, authenticated flow, or backend feature exists.</w:t>
            </w:r>
          </w:p>
        </w:tc>
        <w:tc>
          <w:tcPr>
            <w:tcW w:type="dxa" w:w="3360"/>
          </w:tcPr>
          <w:p>
            <w:r>
              <w:t>Mark each claim Observed, Partially observed, Not observed, or Not verifiable; cite route/screenshot/test evidence.</w:t>
            </w:r>
          </w:p>
        </w:tc>
      </w:tr>
      <w:tr>
        <w:tc>
          <w:tcPr>
            <w:tcW w:type="dxa" w:w="3360"/>
          </w:tcPr>
          <w:p>
            <w:r>
              <w:t>Make offline participation a low-priority mobile-app enhancement.</w:t>
            </w:r>
          </w:p>
        </w:tc>
        <w:tc>
          <w:tcPr>
            <w:tcW w:type="dxa" w:w="3360"/>
          </w:tcPr>
          <w:p>
            <w:r>
              <w:t>The product baseline includes a responsive PWA and low-bandwidth resilience; full offline behavior needs a more precise definition.</w:t>
            </w:r>
          </w:p>
        </w:tc>
        <w:tc>
          <w:tcPr>
            <w:tcW w:type="dxa" w:w="3360"/>
          </w:tcPr>
          <w:p>
            <w:r>
              <w:t>Separate offline-readable content, draft preservation, queued submissions, and sync conflict handling. Agree which are demo versus later phase.</w:t>
            </w:r>
          </w:p>
        </w:tc>
      </w:tr>
      <w:tr>
        <w:tc>
          <w:tcPr>
            <w:tcW w:type="dxa" w:w="3360"/>
          </w:tcPr>
          <w:p>
            <w:r>
              <w:t>Assume all UI languages are only English/Hindi.</w:t>
            </w:r>
          </w:p>
        </w:tc>
        <w:tc>
          <w:tcPr>
            <w:tcW w:type="dxa" w:w="3360"/>
          </w:tcPr>
          <w:p>
            <w:r>
              <w:t>The website may contain regional references or content, including Jaipur/Rajasthan and Rajasthani-language material, that has not been inventoried.</w:t>
            </w:r>
          </w:p>
        </w:tc>
        <w:tc>
          <w:tcPr>
            <w:tcW w:type="dxa" w:w="3360"/>
          </w:tcPr>
          <w:p>
            <w:r>
              <w:t>Audit all existing regional content and languages. Preserve valid material; do not claim Rajasthani support is absent until routes/content are checked.</w:t>
            </w:r>
          </w:p>
        </w:tc>
      </w:tr>
    </w:tbl>
    <w:p>
      <w:pPr>
        <w:pStyle w:val="Heading1"/>
      </w:pPr>
      <w:r>
        <w:t>5. Website audit: evidence rules</w:t>
      </w:r>
    </w:p>
    <w:p>
      <w:pPr>
        <w:pStyle w:val="ListBullet"/>
      </w:pPr>
      <w:r>
        <w:t>Inspect the actual page/route and record the exact URL, section/component, date, and a screenshot or reproducible step.</w:t>
      </w:r>
    </w:p>
    <w:p>
      <w:pPr>
        <w:pStyle w:val="ListBullet"/>
      </w:pPr>
      <w:r>
        <w:t>Use “Observed” only for behavior actually seen. Use “Partially observed” when only part of a workflow was tested.</w:t>
      </w:r>
    </w:p>
    <w:p>
      <w:pPr>
        <w:pStyle w:val="ListBullet"/>
      </w:pPr>
      <w:r>
        <w:t>Use “Not observed” only when the relevant route/flow was accessible and checked but the feature was not present there.</w:t>
      </w:r>
    </w:p>
    <w:p>
      <w:pPr>
        <w:pStyle w:val="ListBullet"/>
      </w:pPr>
      <w:r>
        <w:t>Use “Not verifiable” for login-gated routes, backend persistence, permissions, integrations, or behavior that cannot be tested from available access.</w:t>
      </w:r>
    </w:p>
    <w:p>
      <w:pPr>
        <w:pStyle w:val="ListBullet"/>
      </w:pPr>
      <w:r>
        <w:t>Do not infer backend absence from missing dashboard UI. Do not infer feature presence from a static label or button.</w:t>
      </w:r>
    </w:p>
    <w:p>
      <w:pPr>
        <w:pStyle w:val="ListBullet"/>
      </w:pPr>
      <w:r>
        <w:t>Audit regional content: every visible reference to Jaipur/Rajasthan, Rajasthani-language text, Hindi and English; record route, exact text/content type, and whether it should be preserved.</w:t>
      </w:r>
    </w:p>
    <w:p>
      <w:pPr>
        <w:pStyle w:val="ListBullet"/>
      </w:pPr>
      <w:r>
        <w:t>Resolve the “2047” product name versus “2027” deployment URL as an owner decision; do not rename the domain without approval.</w:t>
      </w:r>
    </w:p>
    <w:p>
      <w:pPr>
        <w:pStyle w:val="Heading1"/>
      </w:pPr>
      <w:r>
        <w:t>6. What to build first: smallest meaningful connected demo</w:t>
      </w:r>
    </w:p>
    <w:p>
      <w:pPr>
        <w:pStyle w:val="ListNumber"/>
      </w:pPr>
      <w:r>
        <w:rPr>
          <w:b/>
        </w:rPr>
        <w:t xml:space="preserve">1. Confirm demo acceptance criteria — </w:t>
      </w:r>
      <w:r>
        <w:t>Agree the 5-minute story and what must genuinely work versus what may be labelled prototype.</w:t>
      </w:r>
    </w:p>
    <w:p>
      <w:pPr>
        <w:pStyle w:val="ListNumber"/>
      </w:pPr>
      <w:r>
        <w:rPr>
          <w:b/>
        </w:rPr>
        <w:t xml:space="preserve">2. Audit current implementation — </w:t>
      </w:r>
      <w:r>
        <w:t>Inventory routes, auth, data persistence, roles, mobile behavior, languages/regional content, and deployment. Mark Keep / Change / Build / Remove / Not verifiable.</w:t>
      </w:r>
    </w:p>
    <w:p>
      <w:pPr>
        <w:pStyle w:val="ListNumber"/>
      </w:pPr>
      <w:r>
        <w:rPr>
          <w:b/>
        </w:rPr>
        <w:t xml:space="preserve">3. Select one vertical slice — </w:t>
      </w:r>
      <w:r>
        <w:t>Implement one participant, one assignment, one structured session, one proposition/observation, reflection, and a Passport evidence/status entry.</w:t>
      </w:r>
    </w:p>
    <w:p>
      <w:pPr>
        <w:pStyle w:val="ListNumber"/>
      </w:pPr>
      <w:r>
        <w:rPr>
          <w:b/>
        </w:rPr>
        <w:t xml:space="preserve">4. Use honest demo data — </w:t>
      </w:r>
      <w:r>
        <w:t>Use fictional, clearly labelled DEMO accounts/content; provide a reset path; do not use real minors’ or private personal data.</w:t>
      </w:r>
    </w:p>
    <w:p>
      <w:pPr>
        <w:pStyle w:val="ListNumber"/>
      </w:pPr>
      <w:r>
        <w:rPr>
          <w:b/>
        </w:rPr>
        <w:t xml:space="preserve">5. Add cross-cutting safeguards — </w:t>
      </w:r>
      <w:r>
        <w:t>Check authorization server-side, safe session handling, basic reporting/moderation where user content exists, and clear failure states.</w:t>
      </w:r>
    </w:p>
    <w:p>
      <w:pPr>
        <w:pStyle w:val="ListNumber"/>
      </w:pPr>
      <w:r>
        <w:rPr>
          <w:b/>
        </w:rPr>
        <w:t xml:space="preserve">6. Test the story end-to-end — </w:t>
      </w:r>
      <w:r>
        <w:t>Test the full sequence on desktop and mobile, including refresh/navigation, persistence, unauthorized access, and a failed-save case.</w:t>
      </w:r>
    </w:p>
    <w:p>
      <w:pPr>
        <w:pStyle w:val="ListNumber"/>
      </w:pPr>
      <w:r>
        <w:rPr>
          <w:b/>
        </w:rPr>
        <w:t xml:space="preserve">7. Track everything else — </w:t>
      </w:r>
      <w:r>
        <w:t>Map each governing PRD requirement to a route/module, acceptance test, phase, owner decision, or explicitly blocked dependency.</w:t>
      </w:r>
    </w:p>
    <w:p>
      <w:pPr>
        <w:pStyle w:val="Heading1"/>
      </w:pPr>
      <w:r>
        <w:t>7. Definition of “interconnected” for acceptance</w:t>
      </w:r>
    </w:p>
    <w:p>
      <w:pPr>
        <w:pStyle w:val="ListBullet"/>
      </w:pPr>
      <w:r>
        <w:t>A user action produces a persisted state change, not just a visual animation.</w:t>
      </w:r>
    </w:p>
    <w:p>
      <w:pPr>
        <w:pStyle w:val="ListBullet"/>
      </w:pPr>
      <w:r>
        <w:t>Related records reference one another (for example, submission → assignment → participant; proposition → session; Passport evidence → verified contribution).</w:t>
      </w:r>
    </w:p>
    <w:p>
      <w:pPr>
        <w:pStyle w:val="ListBullet"/>
      </w:pPr>
      <w:r>
        <w:t>Navigation carries the user to the next relevant step without losing the session or item context.</w:t>
      </w:r>
    </w:p>
    <w:p>
      <w:pPr>
        <w:pStyle w:val="ListBullet"/>
      </w:pPr>
      <w:r>
        <w:t>The UI shows truthful statuses such as Draft, Submitted, Under review, Verified, Rejected, or Demo-only where applicable.</w:t>
      </w:r>
    </w:p>
    <w:p>
      <w:pPr>
        <w:pStyle w:val="ListBullet"/>
      </w:pPr>
      <w:r>
        <w:t>Permissions are enforced at the data/API layer and tested with at least one unauthorized-access case.</w:t>
      </w:r>
    </w:p>
    <w:p>
      <w:pPr>
        <w:pStyle w:val="ListBullet"/>
      </w:pPr>
      <w:r>
        <w:t>The demo can be reset and repeated using fictional seed data.</w:t>
      </w:r>
    </w:p>
    <w:p>
      <w:pPr>
        <w:pStyle w:val="Heading1"/>
      </w:pPr>
      <w:r>
        <w:t>8. Questions that must be answered before scope is locked</w:t>
      </w:r>
    </w:p>
    <w:p>
      <w:pPr>
        <w:pStyle w:val="ListBullet"/>
      </w:pPr>
      <w:r>
        <w:t>Which exact flow must be fully functional for the demo, and what is the demo date?</w:t>
      </w:r>
    </w:p>
    <w:p>
      <w:pPr>
        <w:pStyle w:val="ListBullet"/>
      </w:pPr>
      <w:r>
        <w:t>Which modules must be working, and which may be labelled prototype?</w:t>
      </w:r>
    </w:p>
    <w:p>
      <w:pPr>
        <w:pStyle w:val="ListBullet"/>
      </w:pPr>
      <w:r>
        <w:t>Is video required for the demo, or is text/audio sufficient?</w:t>
      </w:r>
    </w:p>
    <w:p>
      <w:pPr>
        <w:pStyle w:val="ListBullet"/>
      </w:pPr>
      <w:r>
        <w:t>What is the approved policy for open participation versus invite-only sessions, by session type?</w:t>
      </w:r>
    </w:p>
    <w:p>
      <w:pPr>
        <w:pStyle w:val="ListBullet"/>
      </w:pPr>
      <w:r>
        <w:t>Which founder/owner details, if any, are approved for public display?</w:t>
      </w:r>
    </w:p>
    <w:p>
      <w:pPr>
        <w:pStyle w:val="ListBullet"/>
      </w:pPr>
      <w:r>
        <w:t>Which languages must be functional in the demo? Inventory existing English, Hindi, and Rajasthani content and Jaipur/Rajasthan references before deciding.</w:t>
      </w:r>
    </w:p>
    <w:p>
      <w:pPr>
        <w:pStyle w:val="ListBullet"/>
      </w:pPr>
      <w:r>
        <w:t>What data already exists and must be preserved or migrated?</w:t>
      </w:r>
    </w:p>
    <w:p>
      <w:pPr>
        <w:pStyle w:val="ListBullet"/>
      </w:pPr>
      <w:r>
        <w:t>Which external integrations, AI providers, and stakeholder workflows are actually configured and available?</w:t>
      </w:r>
    </w:p>
    <w:p>
      <w:pPr>
        <w:pStyle w:val="Heading1"/>
      </w:pPr>
      <w:r>
        <w:t>9. Message to the developer</w:t>
      </w:r>
    </w:p>
    <w:p>
      <w:r>
        <w:t>Please use this note to scope the first demo, but continue to treat the Master PRD v3.1 as the governing product specification. The previous gap analysis contains unverified assumptions and should not be implemented literally. First audit the current site and code, label each finding with evidence/status, and separate demo-critical work from prototype and later-phase requirements. By “interconnected,” we mean one small end-to-end journey using shared persisted records and permissions—not that every module must be fully integrated for the demo. Please flag contradictions and owner decisions instead of guessing. Preserve existing valid content, including regional and Rajasthani-language material, until reviewed.</w:t>
      </w:r>
    </w:p>
    <w:p/>
    <w:p>
      <w:r>
        <w:rPr>
          <w:b/>
        </w:rPr>
        <w:t xml:space="preserve">Status note: </w:t>
      </w:r>
      <w:r>
        <w:t>This document corrects the previous gap-analysis method and provides a safe starting scope. It does not claim that the live website or backend has been exhaustively inspected. Exact route-by-route findings still require evidence from the running site and, where necessary, repository/backend access.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