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JanSahabhag 2047</w:t>
      </w:r>
    </w:p>
    <w:p>
      <w:pPr>
        <w:jc w:val="left"/>
      </w:pPr>
      <w:r>
        <w:rPr>
          <w:b/>
          <w:color w:val="167D8D"/>
          <w:sz w:val="26"/>
        </w:rPr>
        <w:t>Website Content &amp; About Us — Developer Handoff</w:t>
      </w:r>
    </w:p>
    <w:p>
      <w:r>
        <w:t>Purpose: Present JanSahabhag 2047 as a serious, youth-centred civic participation initiative. The page should lead with the idea, explain LOK MANCH-2047, introduce the founder, and state the initiative’s principles and long-term direction.</w:t>
      </w:r>
    </w:p>
    <w:p>
      <w:pPr>
        <w:pStyle w:val="Heading1"/>
      </w:pPr>
      <w:r>
        <w:t>1. Website Identity</w:t>
      </w:r>
    </w:p>
    <w:p>
      <w:r>
        <w:t>Project / initiative name: JanSahabhag 2047 — जनसहभाग 2047</w:t>
      </w:r>
    </w:p>
    <w:p>
      <w:r>
        <w:t>Underlying civic participation concept: LOK MANCH-2047</w:t>
      </w:r>
    </w:p>
    <w:p>
      <w:r>
        <w:t>Founder designation: Founder and Initiator</w:t>
      </w:r>
    </w:p>
    <w:p>
      <w:r>
        <w:t>Founder name: Nazim M. Sandh</w:t>
      </w:r>
    </w:p>
    <w:p>
      <w:r>
        <w:t>Founder descriptor: Independent Learner | From the Gir region of Gujarat</w:t>
      </w:r>
    </w:p>
    <w:p>
      <w:r>
        <w:t>Core positioning: Connecting education, citizenship and democracy.</w:t>
      </w:r>
    </w:p>
    <w:p>
      <w:pPr>
        <w:pStyle w:val="Heading1"/>
      </w:pPr>
      <w:r>
        <w:t>2. Recommended Page Structure</w:t>
      </w:r>
    </w:p>
    <w:p>
      <w:pPr>
        <w:pStyle w:val="ListBullet"/>
      </w:pPr>
      <w:r>
        <w:t>Hero section: initiative name, concise headline, one-sentence explanation, and a link/button to learn about LOK MANCH-2047.</w:t>
      </w:r>
    </w:p>
    <w:p>
      <w:pPr>
        <w:pStyle w:val="ListBullet"/>
      </w:pPr>
      <w:r>
        <w:t>The Idea: explain the relationship between education and democratic participation.</w:t>
      </w:r>
    </w:p>
    <w:p>
      <w:pPr>
        <w:pStyle w:val="ListBullet"/>
      </w:pPr>
      <w:r>
        <w:t>LOK MANCH-2047: explain the concept and the civic problem it seeks to address.</w:t>
      </w:r>
    </w:p>
    <w:p>
      <w:pPr>
        <w:pStyle w:val="ListBullet"/>
      </w:pPr>
      <w:r>
        <w:t>About the Founder: photograph, name, designation, concise biography.</w:t>
      </w:r>
    </w:p>
    <w:p>
      <w:pPr>
        <w:pStyle w:val="ListBullet"/>
      </w:pPr>
      <w:r>
        <w:t>Our Principles: five short principles with restrained icons or typography.</w:t>
      </w:r>
    </w:p>
    <w:p>
      <w:pPr>
        <w:pStyle w:val="ListBullet"/>
      </w:pPr>
      <w:r>
        <w:t>Looking Towards 2047: closing statement about citizenship and India’s centenary of independence.</w:t>
      </w:r>
    </w:p>
    <w:p>
      <w:pPr>
        <w:pStyle w:val="ListBullet"/>
      </w:pPr>
      <w:r>
        <w:t>Optional navigation links: Our Work / Founder’s Journey / Contact. Put detailed achievements on a separate page rather than overloading About Us.</w:t>
      </w:r>
    </w:p>
    <w:p>
      <w:pPr>
        <w:pStyle w:val="Heading1"/>
      </w:pPr>
      <w:r>
        <w:t>3. Final Website Copy</w:t>
      </w:r>
    </w:p>
    <w:p>
      <w:pPr>
        <w:pStyle w:val="Heading2"/>
      </w:pPr>
      <w:r>
        <w:t>Hero Section</w:t>
      </w:r>
    </w:p>
    <w:p>
      <w:pPr>
        <w:pStyle w:val="Heading2"/>
      </w:pPr>
      <w:r>
        <w:t>Connecting Education with Citizenship.</w:t>
      </w:r>
    </w:p>
    <w:p>
      <w:r>
        <w:t>A civic participation initiative exploring how young people can engage more meaningfully with democracy.</w:t>
      </w:r>
    </w:p>
    <w:p>
      <w:r>
        <w:t>Featured concept: LOK MANCH-2047</w:t>
      </w:r>
    </w:p>
    <w:p>
      <w:r>
        <w:t>Supporting line: From learning about society to participating responsibly in it.</w:t>
      </w:r>
    </w:p>
    <w:p>
      <w:pPr>
        <w:pStyle w:val="Heading2"/>
      </w:pPr>
      <w:r>
        <w:t>About JanSahabhag 2047</w:t>
      </w:r>
    </w:p>
    <w:p>
      <w:r>
        <w:t>A democracy depends not only on its institutions, but also on the understanding, judgement and participation of its citizens. Yet the relationship between education and democratic life deserves greater attention: how do young people move from learning about society to participating responsibly in it?</w:t>
      </w:r>
    </w:p>
    <w:p>
      <w:r>
        <w:t>JanSahabhag 2047 begins with this question.</w:t>
      </w:r>
    </w:p>
    <w:p>
      <w:r>
        <w:t>The initiative seeks to explore ways of connecting education with civic understanding, constructive dialogue and meaningful democratic participation. It envisions young people who can understand public institutions, recognise concerns within their communities, engage with different perspectives and contribute thoughtfully to the society of which they are a part.</w:t>
      </w:r>
    </w:p>
    <w:p>
      <w:r>
        <w:t>The initiative draws on a simple question: What would change if students learned not only about society, but also how to participate responsibly in shaping it?</w:t>
      </w:r>
    </w:p>
    <w:p>
      <w:pPr>
        <w:pStyle w:val="Heading2"/>
      </w:pPr>
      <w:r>
        <w:t>The Idea: LOK MANCH-2047</w:t>
      </w:r>
    </w:p>
    <w:p>
      <w:r>
        <w:t>LOK MANCH-2047 is the civic participation concept at the heart of this initiative. It envisions a connection between educational institutions, young citizens, democratic institutions and public representatives—creating pathways through which students can move beyond awareness towards informed participation.</w:t>
      </w:r>
    </w:p>
    <w:p>
      <w:r>
        <w:t>The purpose is not simply to encourage young people to speak, but to help them understand what they are speaking about, listen to others, examine problems carefully and contribute constructively.</w:t>
      </w:r>
    </w:p>
    <w:p>
      <w:r>
        <w:t>The larger question is whether civic understanding and responsibility can become a more integral part of education, rather than remain confined to occasional activities or formal occasions.</w:t>
      </w:r>
    </w:p>
    <w:p>
      <w:pPr>
        <w:pStyle w:val="Heading2"/>
      </w:pPr>
      <w:r>
        <w:t>The Founder</w:t>
      </w:r>
    </w:p>
    <w:p>
      <w:r>
        <w:rPr>
          <w:b/>
          <w:color w:val="17324D"/>
        </w:rPr>
        <w:t>Nazim M. Sandh</w:t>
      </w:r>
    </w:p>
    <w:p>
      <w:r>
        <w:t>Founder and Initiator | Independent Learner</w:t>
      </w:r>
    </w:p>
    <w:p>
      <w:r>
        <w:t>Based in the Gir region of Gujarat, Nazim M. Sandh has an academic background in microbiology and a broader interest in education, governance, youth development, science and social responsibility.</w:t>
      </w:r>
    </w:p>
    <w:p>
      <w:r>
        <w:t>His experiences span research-based awareness work with students, sustainable cultivation initiatives, community fitness, cultural engagement and youth development programmes. Across these different fields, a recurring interest has shaped his work: understanding how knowledge can inform decisions, influence behaviour and contribute to collective well-being.</w:t>
      </w:r>
    </w:p>
    <w:p>
      <w:r>
        <w:t>His engagement with civic participation developed through LOK MANCH-2047, which he presented in the context of the Viksit Bharat Young Leaders Dialogue 2026. Ideas from the presentation were incorporated into the master presentation placed before the Hon’ble Prime Minister of India. This experience further informed his interest in the role young citizens can play in democratic processes and India’s development.</w:t>
      </w:r>
    </w:p>
    <w:p>
      <w:r>
        <w:t>JanSahabhag 2047 reflects an ongoing effort to examine these questions and explore practical ways of connecting young people with civic life.</w:t>
      </w:r>
    </w:p>
    <w:p>
      <w:pPr>
        <w:pStyle w:val="Heading2"/>
      </w:pPr>
      <w:r>
        <w:t>Our Principles</w:t>
      </w:r>
    </w:p>
    <w:p>
      <w:pPr>
        <w:pStyle w:val="ListBullet"/>
      </w:pPr>
      <w:r>
        <w:rPr>
          <w:b/>
        </w:rPr>
        <w:t xml:space="preserve">Understanding before action. </w:t>
      </w:r>
      <w:r>
        <w:t>Meaningful participation begins with careful observation, informed judgement and an effort to understand the issue at hand.</w:t>
      </w:r>
    </w:p>
    <w:p>
      <w:pPr>
        <w:pStyle w:val="ListBullet"/>
      </w:pPr>
      <w:r>
        <w:rPr>
          <w:b/>
        </w:rPr>
        <w:t xml:space="preserve">Dialogue before assumption. </w:t>
      </w:r>
      <w:r>
        <w:t>Different perspectives deserve to be heard and examined with respect.</w:t>
      </w:r>
    </w:p>
    <w:p>
      <w:pPr>
        <w:pStyle w:val="ListBullet"/>
      </w:pPr>
      <w:r>
        <w:rPr>
          <w:b/>
        </w:rPr>
        <w:t xml:space="preserve">Responsibility alongside rights. </w:t>
      </w:r>
      <w:r>
        <w:t>Citizenship involves not only the ability to express concerns, but also the responsibility to understand their context and contribute constructively.</w:t>
      </w:r>
    </w:p>
    <w:p>
      <w:pPr>
        <w:pStyle w:val="ListBullet"/>
      </w:pPr>
      <w:r>
        <w:rPr>
          <w:b/>
        </w:rPr>
        <w:t xml:space="preserve">Education connected with life. </w:t>
      </w:r>
      <w:r>
        <w:t>Learning gains social relevance when it helps people understand their relationships, institutions and responsibilities.</w:t>
      </w:r>
    </w:p>
    <w:p>
      <w:pPr>
        <w:pStyle w:val="ListBullet"/>
      </w:pPr>
      <w:r>
        <w:rPr>
          <w:b/>
        </w:rPr>
        <w:t xml:space="preserve">Participation with purpose. </w:t>
      </w:r>
      <w:r>
        <w:t>The value of participation lies not merely in being present, but in contributing thoughtfully and responsibly.</w:t>
      </w:r>
    </w:p>
    <w:p>
      <w:pPr>
        <w:pStyle w:val="Heading2"/>
      </w:pPr>
      <w:r>
        <w:t>Looking Towards 2047</w:t>
      </w:r>
    </w:p>
    <w:p>
      <w:r>
        <w:t>As India approaches the centenary of its independence, development invites reflection on more than economic progress and institutional growth. It also raises a question about the kind of citizenship that will sustain the country’s future.</w:t>
      </w:r>
    </w:p>
    <w:p>
      <w:r>
        <w:t>JanSahabhag 2047 seeks to contribute to this larger conversation by exploring how education can help nurture informed, responsible and participating citizens.</w:t>
      </w:r>
    </w:p>
    <w:p>
      <w:r>
        <w:rPr>
          <w:b/>
          <w:color w:val="167D8D"/>
        </w:rPr>
        <w:t>The aim is to bring learning closer to public life—and citizenship closer to everyday practice.</w:t>
      </w:r>
    </w:p>
    <w:p>
      <w:pPr>
        <w:pStyle w:val="Heading1"/>
      </w:pPr>
      <w:r>
        <w:t>4. Design and Presentation Guidance</w:t>
      </w:r>
    </w:p>
    <w:p>
      <w:pPr>
        <w:pStyle w:val="ListBullet"/>
      </w:pPr>
      <w:r>
        <w:t>Visual tone: elegant, restrained, editorial and institutionally credible—not a flashy startup landing page.</w:t>
      </w:r>
    </w:p>
    <w:p>
      <w:pPr>
        <w:pStyle w:val="ListBullet"/>
      </w:pPr>
      <w:r>
        <w:t>Suggested palette: deep navy, muted teal, off-white, with minimal warm accent if needed.</w:t>
      </w:r>
    </w:p>
    <w:p>
      <w:pPr>
        <w:pStyle w:val="ListBullet"/>
      </w:pPr>
      <w:r>
        <w:t>Use the founder’s real photograph and name exactly as supplied. Add email/contact only after the founder provides the intended public contact details.</w:t>
      </w:r>
    </w:p>
    <w:p>
      <w:pPr>
        <w:pStyle w:val="ListBullet"/>
      </w:pPr>
      <w:r>
        <w:t>Use generous whitespace, clear typographic hierarchy, thin dividers, and a restrained civic/educational visual motif.</w:t>
      </w:r>
    </w:p>
    <w:p>
      <w:pPr>
        <w:pStyle w:val="ListBullet"/>
      </w:pPr>
      <w:r>
        <w:t>Avoid generic stock imagery of politicians, Parliament, flags or handshakes unless the imagery has a clear purpose. Prefer authentic project photographs where available.</w:t>
      </w:r>
    </w:p>
    <w:p>
      <w:pPr>
        <w:pStyle w:val="ListBullet"/>
      </w:pPr>
      <w:r>
        <w:t>Do not imply that LOK MANCH-2047 is a fully deployed digital platform unless that is factually true. Use ‘concept’, ‘initiative’, ‘envisions’, and ‘seeks to explore’ where appropriate.</w:t>
      </w:r>
    </w:p>
    <w:p>
      <w:pPr>
        <w:pStyle w:val="ListBullet"/>
      </w:pPr>
      <w:r>
        <w:t>Do not add institutional logos, ministry seals, official endorsements, partner names, or claims of government affiliation without permission and verification.</w:t>
      </w:r>
    </w:p>
    <w:p>
      <w:pPr>
        <w:pStyle w:val="ListBullet"/>
      </w:pPr>
      <w:r>
        <w:t>Make the page responsive and readable on mobile. Keep paragraphs short and make the key headline visible without excessive scrolling.</w:t>
      </w:r>
    </w:p>
    <w:p>
      <w:pPr>
        <w:pStyle w:val="Heading1"/>
      </w:pPr>
      <w:r>
        <w:t>5. Suggested Separate Pages</w:t>
      </w:r>
    </w:p>
    <w:p>
      <w:r>
        <w:t>About Us should establish the purpose and identity of JanSahabhag 2047. The founder’s full achievements should not all be placed on this page.</w:t>
      </w:r>
    </w:p>
    <w:p>
      <w:pPr>
        <w:pStyle w:val="ListBullet"/>
      </w:pPr>
      <w:r>
        <w:rPr>
          <w:b/>
        </w:rPr>
        <w:t xml:space="preserve">Founder’s Journey: </w:t>
      </w:r>
      <w:r>
        <w:t>A factual timeline of education, youth leadership programmes, social-impact work, science and sustainability initiatives, teaching, fitness, culture and public engagement.</w:t>
      </w:r>
    </w:p>
    <w:p>
      <w:pPr>
        <w:pStyle w:val="ListBullet"/>
      </w:pPr>
      <w:r>
        <w:rPr>
          <w:b/>
        </w:rPr>
        <w:t xml:space="preserve">Our Work / Projects: </w:t>
      </w:r>
      <w:r>
        <w:t>Documented project descriptions, objectives, activities, reach, outcomes, photographs and relevant links.</w:t>
      </w:r>
    </w:p>
    <w:p>
      <w:pPr>
        <w:pStyle w:val="ListBullet"/>
      </w:pPr>
      <w:r>
        <w:rPr>
          <w:b/>
        </w:rPr>
        <w:t xml:space="preserve">LOK MANCH-2047: </w:t>
      </w:r>
      <w:r>
        <w:t>A dedicated explanation of the problem, intended users, proposed participation process, safeguards, and current development stage.</w:t>
      </w:r>
    </w:p>
    <w:p>
      <w:pPr>
        <w:pStyle w:val="ListBullet"/>
      </w:pPr>
      <w:r>
        <w:rPr>
          <w:b/>
        </w:rPr>
        <w:t xml:space="preserve">Contact: </w:t>
      </w:r>
      <w:r>
        <w:t>Public email and an appropriate channel for collaboration or institutional enquiries.</w:t>
      </w:r>
    </w:p>
    <w:p>
      <w:pPr>
        <w:pStyle w:val="Heading1"/>
      </w:pPr>
      <w:r>
        <w:t>6. Facts to Verify Before Publication</w:t>
      </w:r>
    </w:p>
    <w:p>
      <w:pPr>
        <w:pStyle w:val="ListBullet"/>
      </w:pPr>
      <w:r>
        <w:t>Confirm the exact public designation and wording for the Ministry of Youth Affairs &amp; Sports / MY Bharat role.</w:t>
      </w:r>
    </w:p>
    <w:p>
      <w:pPr>
        <w:pStyle w:val="ListBullet"/>
      </w:pPr>
      <w:r>
        <w:t>Confirm the precise wording of the VBYLD 2026 rank and competition stage.</w:t>
      </w:r>
    </w:p>
    <w:p>
      <w:pPr>
        <w:pStyle w:val="ListBullet"/>
      </w:pPr>
      <w:r>
        <w:t>Confirm the exact wording describing how ideas from the LOK MANCH-2047 presentation were incorporated into the master presentation placed before the Prime Minister.</w:t>
      </w:r>
    </w:p>
    <w:p>
      <w:pPr>
        <w:pStyle w:val="ListBullet"/>
      </w:pPr>
      <w:r>
        <w:t>Confirm the final academic status and whether the degree should be described as completed.</w:t>
      </w:r>
    </w:p>
    <w:p>
      <w:pPr>
        <w:pStyle w:val="ListBullet"/>
      </w:pPr>
      <w:r>
        <w:t>Use verified figures and titles for all project reach, awards, grants, programme selections and recognitions.</w:t>
      </w:r>
    </w:p>
    <w:p>
      <w:pPr>
        <w:pStyle w:val="ListBullet"/>
      </w:pPr>
      <w:r>
        <w:t>Do not describe the initiative as a registered organisation, an official government platform, or an established partnership unless that status is documented.</w:t>
      </w:r>
    </w:p>
    <w:p>
      <w:pPr>
        <w:pStyle w:val="ListBullet"/>
      </w:pPr>
      <w:r>
        <w:t>Add founder photograph, public email address, and any approved social links only after they are supplied.</w:t>
      </w:r>
    </w:p>
    <w:p>
      <w:pPr>
        <w:pStyle w:val="Heading1"/>
      </w:pPr>
      <w:r>
        <w:t>7. Editorial Standard</w:t>
      </w:r>
    </w:p>
    <w:p>
      <w:r>
        <w:t>The language should remain simple, literate, precise and understated. Prioritise the initiative’s purpose over personal promotion. Avoid inflated claims, generic motivational language, unsupported impact statements, and wording that suggests official endorsement. The page should communicate a serious idea, a clear civic purpose and a founder whose experience supports that purpose.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 xml:space="preserve">JanSahabhag 2047  •  Website copy for developer implementation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67D8D"/>
        <w:sz w:val="16"/>
      </w:rPr>
      <w:t>JANSAHABHAG 2047  |  WEBSITE CONTENT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