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Arial" w:hAnsi="Arial"/>
          <w:b/>
          <w:i w:val="0"/>
          <w:color w:val="0056B3"/>
          <w:sz w:val="32"/>
        </w:rPr>
        <w:t>🏥 LƯU ĐỒ HOẠT ĐỘNG HỆ THỐNG CHẨN ĐOÁN PHỔI VISION TRANSFORMER (ViT)</w:t>
      </w:r>
    </w:p>
    <w:p>
      <w:pPr>
        <w:spacing w:before="0" w:after="120" w:line="276" w:lineRule="auto"/>
        <w:jc w:val="both"/>
      </w:pPr>
      <w:r>
        <w:rPr>
          <w:rFonts w:ascii="Arial" w:hAnsi="Arial"/>
          <w:b w:val="0"/>
          <w:i w:val="0"/>
          <w:sz w:val="22"/>
        </w:rPr>
        <w:t>Tài liệu này cung cấp **Lưu đồ hoạt động chi tiết (System Flowchart)** trực quan cùng phần mô tả luồng xử lý kỹ thuật thực nghiệm từ lúc bệnh viện tiếp nhận phim chụp X-Ray lồng ngực PA/AP cho đến khi hệ thống tự động xuất báo cáo chẩn đoán lâm sàng chuyên sâu và phân tích đối chiếu latency so sánh các kiến trúc mạng CNNs song hành. Sơ đồ mô tả quy trình đã được nâng cấp đồng bộ hoàn hảo với cấu trúc CHƯƠNG 6 và CHƯƠNG 7 trong báo cáo tốt nghiệp của nhóm.</w:t>
      </w:r>
    </w:p>
    <w:p>
      <w:pPr>
        <w:spacing w:after="240"/>
      </w:pPr>
      <w:r>
        <w:rPr>
          <w:color w:val="C8C8C8"/>
        </w:rPr>
        <w:t>―――――――――――――――――――――――――――――――――――――――――――――――――――――――――――――――――</w:t>
      </w:r>
    </w:p>
    <w:p>
      <w:pPr>
        <w:spacing w:before="240" w:after="120" w:line="276" w:lineRule="auto"/>
        <w:jc w:val="both"/>
      </w:pPr>
      <w:r>
        <w:rPr>
          <w:rFonts w:ascii="Arial" w:hAnsi="Arial"/>
          <w:b/>
          <w:i w:val="0"/>
          <w:color w:val="323232"/>
          <w:sz w:val="26"/>
        </w:rPr>
        <w:t>1. Sơ đồ lưu đồ hệ thống (System Flowchart)</w:t>
      </w:r>
    </w:p>
    <w:p>
      <w:pPr>
        <w:spacing w:before="0" w:after="120" w:line="276" w:lineRule="auto"/>
        <w:jc w:val="both"/>
      </w:pPr>
      <w:r>
        <w:rPr>
          <w:rFonts w:ascii="Arial" w:hAnsi="Arial"/>
          <w:b w:val="0"/>
          <w:i w:val="0"/>
          <w:sz w:val="22"/>
        </w:rPr>
        <w:t>Dưới đây là sơ đồ mã Mermaid mô tả luồng dữ liệu y khoa tuần tự của hệ thống. Sơ đồ được phân bổ thành 3 phân vùng độc lập: Dữ liệu đầu vào (Input Zone), Khối xử lý trung tâm (Core ViT vs CNNs Zone), và Đầu ra giao diện (Gradio UI Output Zone).</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0E0E0"/>
              <w:left w:val="single" w:sz="24" w:space="0" w:color="0056B3"/>
              <w:bottom w:val="single" w:sz="4" w:space="0" w:color="E0E0E0"/>
              <w:right w:val="single" w:sz="4" w:space="0" w:color="E0E0E0"/>
            </w:tcBorders>
            <w:tcMar>
              <w:top w:w="140" w:type="dxa"/>
              <w:bottom w:w="140" w:type="dxa"/>
              <w:left w:w="180" w:type="dxa"/>
              <w:right w:w="180" w:type="dxa"/>
            </w:tcMar>
          </w:tcPr>
          <w:p>
            <w:pPr>
              <w:spacing w:line="252" w:lineRule="auto" w:before="80" w:after="80"/>
            </w:pPr>
            <w:r>
              <w:rPr>
                <w:rFonts w:ascii="Consolas" w:hAnsi="Consolas"/>
                <w:color w:val="282C34"/>
                <w:sz w:val="19"/>
              </w:rPr>
              <w:t>flowchart TD</w:t>
              <w:br/>
              <w:t xml:space="preserve">    %% KHU VỰC ĐẦU VÀO</w:t>
              <w:br/>
              <w:t xml:space="preserve">    subgraph INPUT_ZONE ["📁 DỮ LIỆU ĐẦU VÀO"]</w:t>
              <w:br/>
              <w:t xml:space="preserve">        A["📷 Ảnh X-Ray ngực thẳng"] --&gt; B{"Lựa chọn Tab trên Gradio?"}</w:t>
              <w:br/>
              <w:t xml:space="preserve">    end</w:t>
              <w:br/>
              <w:br/>
              <w:t xml:space="preserve">    %% TAB 1: CHẨN ĐOÁN CHUYÊN SÂU ViT</w:t>
              <w:br/>
              <w:t xml:space="preserve">    subgraph TAB1_ZONE ["🏥 TAB 1: CHẨN ĐOÁN Y KHOA ViT"]</w:t>
              <w:br/>
              <w:t xml:space="preserve">        B -- "Tab 1" --&gt; C1["Resize 224x224"] --&gt; C2["Normalize Mean &amp; Std"] --&gt; C3["Đưa lên GPU RTX 3070"]</w:t>
              <w:br/>
              <w:t xml:space="preserve">        subgraph ViT_CORE ["🧠 KIẾN TRÚC VISION TRANSFORMER (ViT-B/16)"]</w:t>
              <w:br/>
              <w:t xml:space="preserve">            D1["Chia ảnh 14x14 Patches"] --&gt; D2["Nhúng vị trí Embedding"] --&gt; D3["Transformer Encoder Blocks"] --&gt; D4["MLP Head (Sigmoid)"]</w:t>
              <w:br/>
              <w:t xml:space="preserve">        end</w:t>
              <w:br/>
              <w:t xml:space="preserve">        C3 --&gt; D1</w:t>
              <w:br/>
              <w:t xml:space="preserve">        D4 --&gt; E1["Tính xác suất 14 bệnh lý"]</w:t>
              <w:br/>
              <w:t xml:space="preserve">    end</w:t>
              <w:br/>
              <w:br/>
              <w:t xml:space="preserve">    %% TAB 2: ĐỐI CHIẾU KIẾN TRÚC</w:t>
              <w:br/>
              <w:t xml:space="preserve">    subgraph TAB2_ZONE ["⚖️ TAB 2: ĐỐI CHIẾU KIẾN TRÚC (ViT vs CNNs)"]</w:t>
              <w:br/>
              <w:t xml:space="preserve">        B -- "Tab 2" --&gt; F1["Nạp ảnh đối chiếu"]</w:t>
              <w:br/>
              <w:t xml:space="preserve">        F1 --&gt; G1["Nhánh 1: PyTorch ViT y học"] --&gt; H1["Đo Latency ViT + Top 3"]</w:t>
              <w:br/>
              <w:t xml:space="preserve">        F1 --&gt; G2["Nhánh 2: EfficientNetV2B0"] --&gt; H2["Đo Latency EffNet + Top 3"]</w:t>
              <w:br/>
              <w:t xml:space="preserve">        F1 --&gt; G3["Nhánh 3: ResNet50"] --&gt; H3["Đo Latency ResNet + Top 3"]</w:t>
              <w:br/>
              <w:t xml:space="preserve">    end</w:t>
              <w:br/>
              <w:br/>
              <w:t xml:space="preserve">    %% ĐẦU RA GIAO DIỆN</w:t>
              <w:br/>
              <w:t xml:space="preserve">    subgraph OUTPUT_ZONE ["📊 KẾT QUẢ GIAO DIỆN"]</w:t>
              <w:br/>
              <w:t xml:space="preserve">        E1 --&gt; O1["📋 Báo cáo y học Tiếng Việt"]</w:t>
              <w:br/>
              <w:t xml:space="preserve">        E1 --&gt; O2["📈 Biểu đồ cột xác suất ViT"]</w:t>
              <w:br/>
              <w:t xml:space="preserve">        H1 &amp; H2 &amp; H3 --&gt; O3["📊 Bảng đối chiếu học thuật"]</w:t>
              <w:br/>
              <w:t xml:space="preserve">        H1 &amp; H2 &amp; H3 --&gt; O4["📈 Biểu đồ thời gian so sánh"]</w:t>
              <w:br/>
              <w:t xml:space="preserve">    end</w:t>
            </w:r>
          </w:p>
        </w:tc>
      </w:tr>
    </w:tbl>
    <w:p>
      <w:pPr>
        <w:spacing w:before="160"/>
      </w:pPr>
    </w:p>
    <w:p>
      <w:pPr>
        <w:spacing w:before="240" w:after="120" w:line="276" w:lineRule="auto"/>
        <w:jc w:val="both"/>
      </w:pPr>
      <w:r>
        <w:rPr>
          <w:rFonts w:ascii="Arial" w:hAnsi="Arial"/>
          <w:b/>
          <w:i w:val="0"/>
          <w:color w:val="323232"/>
          <w:sz w:val="26"/>
        </w:rPr>
        <w:t>2. Giải thích các khối xử lý chính trong lưu đồ</w:t>
      </w:r>
    </w:p>
    <w:p>
      <w:pPr>
        <w:spacing w:before="0" w:after="120" w:line="276" w:lineRule="auto"/>
        <w:jc w:val="both"/>
      </w:pPr>
      <w:r>
        <w:rPr>
          <w:rFonts w:ascii="Arial" w:hAnsi="Arial"/>
          <w:b/>
          <w:i w:val="0"/>
          <w:color w:val="0056B3"/>
          <w:sz w:val="22"/>
        </w:rPr>
        <w:t>Phân khu 1: Tiền xử lý dữ liệu y khoa</w:t>
      </w:r>
    </w:p>
    <w:p>
      <w:pPr>
        <w:spacing w:after="80" w:line="276" w:lineRule="auto"/>
        <w:ind w:left="360"/>
        <w:jc w:val="both"/>
      </w:pPr>
      <w:r>
        <w:rPr>
          <w:rFonts w:ascii="Arial" w:hAnsi="Arial"/>
          <w:b/>
          <w:color w:val="0056B3"/>
          <w:sz w:val="22"/>
        </w:rPr>
        <w:t xml:space="preserve">• </w:t>
      </w:r>
      <w:r>
        <w:rPr>
          <w:rFonts w:ascii="Arial" w:hAnsi="Arial"/>
          <w:b/>
          <w:sz w:val="22"/>
        </w:rPr>
        <w:t xml:space="preserve">Resize (224x224): </w:t>
      </w:r>
      <w:r>
        <w:rPr>
          <w:rFonts w:ascii="Arial" w:hAnsi="Arial"/>
          <w:sz w:val="22"/>
        </w:rPr>
        <w:t>Đưa hình ảnh X-Ray gốc về kích thước chuẩn hóa mà Vision Transformer đòi hỏi để đồng nhất các phép toán nhân ma trận.</w:t>
      </w:r>
    </w:p>
    <w:p>
      <w:pPr>
        <w:spacing w:after="80" w:line="276" w:lineRule="auto"/>
        <w:ind w:left="360"/>
        <w:jc w:val="both"/>
      </w:pPr>
      <w:r>
        <w:rPr>
          <w:rFonts w:ascii="Arial" w:hAnsi="Arial"/>
          <w:b/>
          <w:color w:val="0056B3"/>
          <w:sz w:val="22"/>
        </w:rPr>
        <w:t xml:space="preserve">• </w:t>
      </w:r>
      <w:r>
        <w:rPr>
          <w:rFonts w:ascii="Arial" w:hAnsi="Arial"/>
          <w:b/>
          <w:sz w:val="22"/>
        </w:rPr>
        <w:t xml:space="preserve">Normalization: </w:t>
      </w:r>
      <w:r>
        <w:rPr>
          <w:rFonts w:ascii="Arial" w:hAnsi="Arial"/>
          <w:sz w:val="22"/>
        </w:rPr>
        <w:t>Áp dụng phân phối trung bình (Mean) và độ lệch chuẩn (Std) y khoa chuẩn giúp giữ nguyên độ tương phản không gian xương sườn và các nhu mô phổi bị tổn thương.</w:t>
      </w:r>
    </w:p>
    <w:p>
      <w:pPr>
        <w:spacing w:before="120" w:after="120" w:line="276" w:lineRule="auto"/>
        <w:jc w:val="both"/>
      </w:pPr>
      <w:r>
        <w:rPr>
          <w:rFonts w:ascii="Arial" w:hAnsi="Arial"/>
          <w:b/>
          <w:i w:val="0"/>
          <w:color w:val="0056B3"/>
          <w:sz w:val="22"/>
        </w:rPr>
        <w:t>Phân khu 2: Cốt lõi kiến trúc Vision Transformer (ViT-B/16)</w:t>
      </w:r>
    </w:p>
    <w:p>
      <w:pPr>
        <w:spacing w:after="80" w:line="276" w:lineRule="auto"/>
        <w:ind w:left="360"/>
        <w:jc w:val="both"/>
      </w:pPr>
      <w:r>
        <w:rPr>
          <w:rFonts w:ascii="Arial" w:hAnsi="Arial"/>
          <w:b/>
          <w:color w:val="0056B3"/>
          <w:sz w:val="22"/>
        </w:rPr>
        <w:t xml:space="preserve">• </w:t>
      </w:r>
      <w:r>
        <w:rPr>
          <w:rFonts w:ascii="Arial" w:hAnsi="Arial"/>
          <w:b/>
          <w:sz w:val="22"/>
        </w:rPr>
        <w:t xml:space="preserve">Patch Extraction: </w:t>
      </w:r>
      <w:r>
        <w:rPr>
          <w:rFonts w:ascii="Arial" w:hAnsi="Arial"/>
          <w:sz w:val="22"/>
        </w:rPr>
        <w:t>Chia bức ảnh chụp lồng ngực kích thước 224x224 thành lưới 14x14 mảnh, mỗi mảnh kích thước 16x16 pixel. Bước này chuyển hóa dữ liệu không gian 2D thành chuỗi dữ liệu 1D tuần tự.</w:t>
      </w:r>
    </w:p>
    <w:p>
      <w:pPr>
        <w:spacing w:after="80" w:line="276" w:lineRule="auto"/>
        <w:ind w:left="360"/>
        <w:jc w:val="both"/>
      </w:pPr>
      <w:r>
        <w:rPr>
          <w:rFonts w:ascii="Arial" w:hAnsi="Arial"/>
          <w:b/>
          <w:color w:val="0056B3"/>
          <w:sz w:val="22"/>
        </w:rPr>
        <w:t xml:space="preserve">• </w:t>
      </w:r>
      <w:r>
        <w:rPr>
          <w:rFonts w:ascii="Arial" w:hAnsi="Arial"/>
          <w:b/>
          <w:sz w:val="22"/>
        </w:rPr>
        <w:t xml:space="preserve">Position Embedding: </w:t>
      </w:r>
      <w:r>
        <w:rPr>
          <w:rFonts w:ascii="Arial" w:hAnsi="Arial"/>
          <w:sz w:val="22"/>
        </w:rPr>
        <w:t>Cộng vector nhúng vị trí 1D học được (learnable position embedding) vào các mảnh ảnh giúp giữ nguyên thông tin tọa độ cấu trúc không gian phổi trái và phổi phải.</w:t>
      </w:r>
    </w:p>
    <w:p>
      <w:pPr>
        <w:spacing w:after="80" w:line="276" w:lineRule="auto"/>
        <w:ind w:left="360"/>
        <w:jc w:val="both"/>
      </w:pPr>
      <w:r>
        <w:rPr>
          <w:rFonts w:ascii="Arial" w:hAnsi="Arial"/>
          <w:b/>
          <w:color w:val="0056B3"/>
          <w:sz w:val="22"/>
        </w:rPr>
        <w:t xml:space="preserve">• </w:t>
      </w:r>
      <w:r>
        <w:rPr>
          <w:rFonts w:ascii="Arial" w:hAnsi="Arial"/>
          <w:b/>
          <w:sz w:val="22"/>
        </w:rPr>
        <w:t xml:space="preserve">Transformer Encoder Blocks (Self-Attention): </w:t>
      </w:r>
      <w:r>
        <w:rPr>
          <w:rFonts w:ascii="Arial" w:hAnsi="Arial"/>
          <w:sz w:val="22"/>
        </w:rPr>
        <w:t>Gồm 12 lớp Transformer Encoder liên tiếp với cơ chế tự chú ý đa đầu Multi-Head Self-Attention. Giúp mô hình tính tương quan đa hướng toàn cục để tự động tập trung sự chú ý vào các ổ dịch, khối u hoặc thùy phổi tổn thương.</w:t>
      </w:r>
    </w:p>
    <w:p>
      <w:pPr>
        <w:spacing w:after="80" w:line="276" w:lineRule="auto"/>
        <w:ind w:left="360"/>
        <w:jc w:val="both"/>
      </w:pPr>
      <w:r>
        <w:rPr>
          <w:rFonts w:ascii="Arial" w:hAnsi="Arial"/>
          <w:b/>
          <w:color w:val="0056B3"/>
          <w:sz w:val="22"/>
        </w:rPr>
        <w:t xml:space="preserve">• </w:t>
      </w:r>
      <w:r>
        <w:rPr>
          <w:rFonts w:ascii="Arial" w:hAnsi="Arial"/>
          <w:b/>
          <w:sz w:val="22"/>
        </w:rPr>
        <w:t xml:space="preserve">MLP Classification Head: </w:t>
      </w:r>
      <w:r>
        <w:rPr>
          <w:rFonts w:ascii="Arial" w:hAnsi="Arial"/>
          <w:sz w:val="22"/>
        </w:rPr>
        <w:t>Bộ phân loại y khoa đa nhãn sử dụng hàm kích hoạt Sigmoid giúp chẩn đoán xác suất của 14 hội chứng phổi một cách độc lập, không loại trừ lẫn nhau (một bệnh nhân có thể mắc nhiều bệnh lý cùng lúc).</w:t>
      </w:r>
    </w:p>
    <w:p>
      <w:pPr>
        <w:spacing w:before="120" w:after="120" w:line="276" w:lineRule="auto"/>
        <w:jc w:val="both"/>
      </w:pPr>
      <w:r>
        <w:rPr>
          <w:rFonts w:ascii="Arial" w:hAnsi="Arial"/>
          <w:b/>
          <w:i w:val="0"/>
          <w:color w:val="0056B3"/>
          <w:sz w:val="22"/>
        </w:rPr>
        <w:t>Phân khu 3: Đối chiếu kiến trúc song song</w:t>
      </w:r>
    </w:p>
    <w:p>
      <w:pPr>
        <w:spacing w:after="80" w:line="276" w:lineRule="auto"/>
        <w:ind w:left="360"/>
        <w:jc w:val="both"/>
      </w:pPr>
      <w:r>
        <w:rPr>
          <w:rFonts w:ascii="Arial" w:hAnsi="Arial"/>
          <w:b/>
          <w:color w:val="0056B3"/>
          <w:sz w:val="22"/>
        </w:rPr>
        <w:t xml:space="preserve">• </w:t>
      </w:r>
      <w:r>
        <w:rPr>
          <w:rFonts w:ascii="Arial" w:hAnsi="Arial"/>
          <w:b/>
          <w:sz w:val="22"/>
        </w:rPr>
        <w:t xml:space="preserve">Lazy Loading: </w:t>
      </w:r>
      <w:r>
        <w:rPr>
          <w:rFonts w:ascii="Arial" w:hAnsi="Arial"/>
          <w:sz w:val="22"/>
        </w:rPr>
        <w:t>Trì hoãn tải TensorFlow/Keras cho đến khi bấm nút so sánh ở Tab 2, giúp ứng dụng Gradio khởi chạy tức thì dưới 0.25 giây mà không làm tốn tài nguyên hệ thống lúc mở phần mềm.</w:t>
      </w:r>
    </w:p>
    <w:p>
      <w:pPr>
        <w:spacing w:after="80" w:line="276" w:lineRule="auto"/>
        <w:ind w:left="360"/>
        <w:jc w:val="both"/>
      </w:pPr>
      <w:r>
        <w:rPr>
          <w:rFonts w:ascii="Arial" w:hAnsi="Arial"/>
          <w:b/>
          <w:color w:val="0056B3"/>
          <w:sz w:val="22"/>
        </w:rPr>
        <w:t xml:space="preserve">• </w:t>
      </w:r>
      <w:r>
        <w:rPr>
          <w:rFonts w:ascii="Arial" w:hAnsi="Arial"/>
          <w:b/>
          <w:sz w:val="22"/>
        </w:rPr>
        <w:t xml:space="preserve">Inference Latency Benchmarking: </w:t>
      </w:r>
      <w:r>
        <w:rPr>
          <w:rFonts w:ascii="Arial" w:hAnsi="Arial"/>
          <w:sz w:val="22"/>
        </w:rPr>
        <w:t>Sử dụng bộ đếm thời gian độ chính xác cao (`time.perf_counter`) để đo lường và so sánh trực quan thời gian phản hồi (ms) của 3 kiến trúc trên GPU tăng tốc thực tế.</w:t>
      </w:r>
    </w:p>
    <w:p>
      <w:pPr>
        <w:spacing w:before="240" w:after="120" w:line="276" w:lineRule="auto"/>
        <w:jc w:val="both"/>
      </w:pPr>
      <w:r>
        <w:rPr>
          <w:rFonts w:ascii="Arial" w:hAnsi="Arial"/>
          <w:b/>
          <w:i w:val="0"/>
          <w:color w:val="323232"/>
          <w:sz w:val="26"/>
        </w:rPr>
        <w:t>3. Giá trị học thuật và vai trò trong đồ án tốt nghiệp</w:t>
      </w:r>
    </w:p>
    <w:p>
      <w:pPr>
        <w:spacing w:after="80" w:line="276" w:lineRule="auto"/>
        <w:ind w:left="360"/>
        <w:jc w:val="both"/>
      </w:pPr>
      <w:r>
        <w:rPr>
          <w:rFonts w:ascii="Arial" w:hAnsi="Arial"/>
          <w:b/>
          <w:color w:val="0056B3"/>
          <w:sz w:val="22"/>
        </w:rPr>
        <w:t xml:space="preserve">• </w:t>
      </w:r>
      <w:r>
        <w:rPr>
          <w:rFonts w:ascii="Arial" w:hAnsi="Arial"/>
          <w:b/>
          <w:sz w:val="22"/>
        </w:rPr>
        <w:t xml:space="preserve">Minh họa trực quan cho CHƯƠNG 6: </w:t>
      </w:r>
      <w:r>
        <w:rPr>
          <w:rFonts w:ascii="Arial" w:hAnsi="Arial"/>
          <w:sz w:val="22"/>
        </w:rPr>
        <w:t>Thể hiện trực quan quy trình xử lý toán học của Vision Transformer từ chia mảnh ảnh đến cơ chế Self-Attention toàn cục để phát hiện tổn thương phổi lâm sàng.</w:t>
      </w:r>
    </w:p>
    <w:p>
      <w:pPr>
        <w:spacing w:after="80" w:line="276" w:lineRule="auto"/>
        <w:ind w:left="360"/>
        <w:jc w:val="both"/>
      </w:pPr>
      <w:r>
        <w:rPr>
          <w:rFonts w:ascii="Arial" w:hAnsi="Arial"/>
          <w:b/>
          <w:color w:val="0056B3"/>
          <w:sz w:val="22"/>
        </w:rPr>
        <w:t xml:space="preserve">• </w:t>
      </w:r>
      <w:r>
        <w:rPr>
          <w:rFonts w:ascii="Arial" w:hAnsi="Arial"/>
          <w:b/>
          <w:sz w:val="22"/>
        </w:rPr>
        <w:t xml:space="preserve">Minh họa trực quan cho CHƯƠNG 7: </w:t>
      </w:r>
      <w:r>
        <w:rPr>
          <w:rFonts w:ascii="Arial" w:hAnsi="Arial"/>
          <w:sz w:val="22"/>
        </w:rPr>
        <w:t>Trực quan hóa tiến trình suy luận song hành cùng lúc 3 nhánh mô hình (ViT-B/16 y khoa chuyên dụng đạt kỷ lục **78.93% Mean AUC** so với baseline ResNet50 đạt 68.20% và EfficientNetV2B0 đạt 65.50%) và đo lường tốc độ suy luận thực tế trên card đồ họa chuyên dụng GPU NVIDIA GeForce RTX 3070.</w:t>
      </w:r>
    </w:p>
    <w:p>
      <w:pPr>
        <w:spacing w:after="80" w:line="276" w:lineRule="auto"/>
        <w:ind w:left="360"/>
        <w:jc w:val="both"/>
      </w:pPr>
      <w:r>
        <w:rPr>
          <w:rFonts w:ascii="Arial" w:hAnsi="Arial"/>
          <w:b/>
          <w:color w:val="0056B3"/>
          <w:sz w:val="22"/>
        </w:rPr>
        <w:t xml:space="preserve">• </w:t>
      </w:r>
      <w:r>
        <w:rPr>
          <w:rFonts w:ascii="Arial" w:hAnsi="Arial"/>
          <w:b/>
          <w:sz w:val="22"/>
        </w:rPr>
        <w:t xml:space="preserve">Ý nghĩa lâm sàng thực tiễn: </w:t>
      </w:r>
      <w:r>
        <w:rPr>
          <w:rFonts w:ascii="Arial" w:hAnsi="Arial"/>
          <w:sz w:val="22"/>
        </w:rPr>
        <w:t>Minh chứng rõ nét tính khả thi khi tích hợp mô hình AI chuyên sâu vào hệ thống phần mềm tương tác Gradio UI hỗ trợ bác sĩ chẩn đoán đa nhãn lâm sàng nhanh chóng, trực quan.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