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Employee Handbook — FourAngryBirds EdTech &amp; HR Solutions JSC</w:t>
      </w:r>
    </w:p>
    <w:p>
      <w:r>
        <w:rPr>
          <w:b/>
        </w:rPr>
        <w:t xml:space="preserve">Version 2.0 — Effective 2026-01-01</w:t>
      </w:r>
    </w:p>
    <w:p>
      <w:pPr>
        <w:pStyle w:val="Heading2"/>
      </w:pPr>
      <w:r>
        <w:t xml:space="preserve">1. Introduction &amp; Purpose</w:t>
      </w:r>
    </w:p>
    <w:p>
      <w:r>
        <w:t xml:space="preserve">This handbook sets out the baseline policies, expectations, and benefits applicable to every employee of FourAngryBirds EdTech &amp; HR Solutions JSC ("the Company"). It applies company-wide unless a role-specific or department-specific document states otherwise (see Section 8, Cross-References).</w:t>
      </w:r>
    </w:p>
    <w:p>
      <w:pPr>
        <w:pStyle w:val="Heading2"/>
      </w:pPr>
      <w:r>
        <w:t xml:space="preserve">2. Company Overview</w:t>
      </w:r>
    </w:p>
    <w:p>
      <w:r>
        <w:t xml:space="preserve">FourAngryBirds EdTech &amp; HR Solutions JSC is a ~250-person EdTech and HR-solutions company headquartered in Ho Chi Minh City, with a secondary office in Đà Nẵng opened in 2025. The Company operates across Sales, Customer Support, Human Resources, Finance, Operations, Marketing, Engineering, Branch Management, and Data functions.</w:t>
      </w:r>
    </w:p>
    <w:p>
      <w:pPr>
        <w:pStyle w:val="Heading2"/>
      </w:pPr>
      <w:r>
        <w:t xml:space="preserve">3. Employment Basics</w:t>
      </w:r>
    </w:p>
    <w:p>
      <w:pPr>
        <w:pStyle w:val="Heading3"/>
      </w:pPr>
      <w:r>
        <w:t xml:space="preserve">3.1 Working Hours</w:t>
      </w:r>
    </w:p>
    <w:p>
      <w:r>
        <w:t xml:space="preserve">Standard working hours are 08:30–17:30, Monday to Friday, with core collaboration hours of 09:00–16:00. Engineering and Data roles may adopt flexible start times with manager approval.</w:t>
      </w:r>
    </w:p>
    <w:p>
      <w:pPr>
        <w:pStyle w:val="Heading3"/>
      </w:pPr>
      <w:r>
        <w:t xml:space="preserve">3.2 Probation Period</w:t>
      </w:r>
    </w:p>
    <w:p>
      <w:r>
        <w:t xml:space="preserve">All new hires undergo a 60-day probation period, during which onboarding modules assigned by the SkillSprint AI platform must be completed (see DOC-11, SOP – Employee Onboarding Process, added in Phase 2).</w:t>
      </w:r>
    </w:p>
    <w:p>
      <w:pPr>
        <w:pStyle w:val="Heading2"/>
      </w:pPr>
      <w:r>
        <w:t xml:space="preserve">4. Code of Conduct</w:t>
      </w:r>
    </w:p>
    <w:p>
      <w:r>
        <w:t xml:space="preserve">All employees must comply with the Workplace Conduct Policy (</w:t>
      </w:r>
      <w:r>
        <w:rPr>
          <w:b/>
        </w:rPr>
        <w:t xml:space="preserve">DOC-04</w:t>
      </w:r>
      <w:r>
        <w:t xml:space="preserve">) in full. This handbook does not restate conduct rules; DOC-04 is the authoritative source.</w:t>
      </w:r>
    </w:p>
    <w:p>
      <w:pPr>
        <w:pStyle w:val="Heading2"/>
      </w:pPr>
      <w:r>
        <w:t xml:space="preserve">5. Compensation &amp; Benefits Overview</w:t>
      </w:r>
    </w:p>
    <w:p>
      <w:pPr>
        <w:pStyle w:val="Heading3"/>
      </w:pPr>
      <w:r>
        <w:t xml:space="preserve">5.1 Leave Entitlement</w:t>
      </w:r>
    </w:p>
    <w:p>
      <w:r>
        <w:t xml:space="preserve">Base annual leave entitlement and role-specific variations are defined in the HR Leave Policy (</w:t>
      </w:r>
      <w:r>
        <w:rPr>
          <w:b/>
        </w:rPr>
        <w:t xml:space="preserve">DOC-03</w:t>
      </w:r>
      <w:r>
        <w:t xml:space="preserve">). This handbook governs only the carryover rule (Section 6 below), which takes precedence over any earlier version.</w:t>
      </w:r>
    </w:p>
    <w:p>
      <w:pPr>
        <w:pStyle w:val="Heading3"/>
      </w:pPr>
      <w:r>
        <w:t xml:space="preserve">5.2 Expense Reimbursement</w:t>
      </w:r>
    </w:p>
    <w:p>
      <w:r>
        <w:t xml:space="preserve">Expense claims follow the SOP – Financial Reimbursement (</w:t>
      </w:r>
      <w:r>
        <w:rPr>
          <w:b/>
        </w:rPr>
        <w:t xml:space="preserve">DOC-09</w:t>
      </w:r>
      <w:r>
        <w:t xml:space="preserve">).</w:t>
      </w:r>
    </w:p>
    <w:p>
      <w:pPr>
        <w:pStyle w:val="Heading2"/>
      </w:pPr>
      <w:r>
        <w:t xml:space="preserve">6. Leave Carryover Rule [MANDATORY — ALL ROLES]</w:t>
      </w:r>
    </w:p>
    <w:p>
      <w:r>
        <w:t xml:space="preserve">Effective with this version (v2.0), employees may carry over a </w:t>
      </w:r>
      <w:r>
        <w:rPr>
          <w:b/>
        </w:rPr>
        <w:t xml:space="preserve">maximum of 5 unused annual leave days</w:t>
      </w:r>
      <w:r>
        <w:t xml:space="preserve"> into the following calendar year. Carried-over days must be used by </w:t>
      </w:r>
      <w:r>
        <w:rPr>
          <w:b/>
        </w:rPr>
        <w:t xml:space="preserve">31 March</w:t>
      </w:r>
      <w:r>
        <w:t xml:space="preserve"> of the following year or they are forfeited. This rule </w:t>
      </w:r>
      <w:r>
        <w:rPr>
          <w:b/>
        </w:rPr>
        <w:t xml:space="preserve">replaces</w:t>
      </w:r>
      <w:r>
        <w:t xml:space="preserve"> the no-carryover rule stated in the obsolete Employee Handbook v1.0 (</w:t>
      </w:r>
      <w:r>
        <w:rPr>
          <w:b/>
        </w:rPr>
        <w:t xml:space="preserve">DOC-02</w:t>
      </w:r>
      <w:r>
        <w:t xml:space="preserve">, superseded 2026-01-01).</w:t>
      </w:r>
    </w:p>
    <w:p>
      <w:pPr>
        <w:pStyle w:val="Heading2"/>
      </w:pPr>
      <w:r>
        <w:t xml:space="preserve">7. IT &amp; Data Handling Basics</w:t>
      </w:r>
    </w:p>
    <w:p>
      <w:r>
        <w:t xml:space="preserve">Every employee must complete Information Security Policy (</w:t>
      </w:r>
      <w:r>
        <w:rPr>
          <w:b/>
        </w:rPr>
        <w:t xml:space="preserve">DOC-06</w:t>
      </w:r>
      <w:r>
        <w:t xml:space="preserve">) and Data Privacy Policy (</w:t>
      </w:r>
      <w:r>
        <w:rPr>
          <w:b/>
        </w:rPr>
        <w:t xml:space="preserve">DOC-05</w:t>
      </w:r>
      <w:r>
        <w:t xml:space="preserve">) training within the first 30 days of employment. Roles handling customer or personal data (Data Analyst, HR Executive, Finance Associate) are subject to additional access controls defined in DOC-05 §4.</w:t>
      </w:r>
    </w:p>
    <w:p>
      <w:pPr>
        <w:pStyle w:val="Heading2"/>
      </w:pPr>
      <w:r>
        <w:t xml:space="preserve">8. Cross-References</w:t>
      </w:r>
    </w:p>
    <w:p>
      <w:pPr>
        <w:pStyle w:val="ListParagraph"/>
      </w:pPr>
      <w:r>
        <w:t xml:space="preserve">â€¢ </w:t>
      </w:r>
      <w:r>
        <w:t xml:space="preserve">Workplace Conduct: DOC-04</w:t>
      </w:r>
    </w:p>
    <w:p>
      <w:pPr>
        <w:pStyle w:val="ListParagraph"/>
      </w:pPr>
      <w:r>
        <w:t xml:space="preserve">â€¢ </w:t>
      </w:r>
      <w:r>
        <w:t xml:space="preserve">Leave detail &amp; role variations: DOC-03</w:t>
      </w:r>
    </w:p>
    <w:p>
      <w:pPr>
        <w:pStyle w:val="ListParagraph"/>
      </w:pPr>
      <w:r>
        <w:t xml:space="preserve">â€¢ </w:t>
      </w:r>
      <w:r>
        <w:t xml:space="preserve">Data Privacy: DOC-05</w:t>
      </w:r>
    </w:p>
    <w:p>
      <w:pPr>
        <w:pStyle w:val="ListParagraph"/>
      </w:pPr>
      <w:r>
        <w:t xml:space="preserve">â€¢ </w:t>
      </w:r>
      <w:r>
        <w:t xml:space="preserve">Information Security: DOC-06</w:t>
      </w:r>
    </w:p>
    <w:p>
      <w:pPr>
        <w:pStyle w:val="ListParagraph"/>
      </w:pPr>
      <w:r>
        <w:t xml:space="preserve">â€¢ </w:t>
      </w:r>
      <w:r>
        <w:t xml:space="preserve">Expense Reimbursement: DOC-09</w:t>
      </w:r>
    </w:p>
    <w:p>
      <w:pPr>
        <w:pStyle w:val="ListParagraph"/>
      </w:pPr>
      <w:r>
        <w:t xml:space="preserve">â€¢ </w:t>
      </w:r>
      <w:r>
        <w:t xml:space="preserve">Employee Onboarding: DOC-11 (Phase 2)</w:t>
      </w:r>
    </w:p>
    <w:p>
      <w:pPr>
        <w:pStyle w:val="Heading2"/>
      </w:pPr>
      <w:r>
        <w:t xml:space="preserve">9. Acknowledgement [MANDATORY — ALL ROLES]</w:t>
      </w:r>
    </w:p>
    <w:p>
      <w:r>
        <w:t xml:space="preserve">Every employee must digitally acknowledge receipt and understanding of this handbook within 5 business days of their joining date. Acknowledgement status is tracked on the Employee Learning Dashboard.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  <w:outlineLvl w:val="0"/>
    </w:pPr>
    <w:rPr>
      <w:b/>
      <w:sz w:val="40"/>
      <w:color w:val="1A1A1A"/>
    </w:rPr>
  </w:style>
  <w:style w:type="paragraph" w:styleId="Heading2">
    <w:name w:val="heading 2"/>
    <w:basedOn w:val="Normal"/>
    <w:qFormat/>
    <w:pPr>
      <w:spacing w:before="200" w:after="100"/>
      <w:outlineLvl w:val="1"/>
    </w:pPr>
    <w:rPr>
      <w:b/>
      <w:sz w:val="30"/>
      <w:color w:val="1A1A1A"/>
    </w:rPr>
  </w:style>
  <w:style w:type="paragraph" w:styleId="Heading3">
    <w:name w:val="heading 3"/>
    <w:basedOn w:val="Normal"/>
    <w:qFormat/>
    <w:pPr>
      <w:spacing w:before="160" w:after="80"/>
      <w:outlineLvl w:val="2"/>
    </w:pPr>
    <w:rPr>
      <w:b/>
      <w:sz w:val="26"/>
    </w:rPr>
  </w:style>
  <w:style w:type="paragraph" w:styleId="Quote">
    <w:name w:val="Quote"/>
    <w:basedOn w:val="Normal"/>
    <w:qFormat/>
    <w:pPr>
      <w:ind w:left="284"/>
      <w:spacing w:before="80" w:after="80"/>
    </w:pPr>
    <w:rPr>
      <w:i/>
      <w:color w:val="555555"/>
    </w:rPr>
  </w:style>
  <w:style w:type="paragraph" w:styleId="ListParagraph">
    <w:name w:val="List Paragraph"/>
    <w:basedOn w:val="Normal"/>
    <w:qFormat/>
    <w:pPr>
      <w:ind w:left="284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SkillSprint AI Doc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Employee Handbook v2.0</dc:title>
  <dc:creator>FourAngryBirds EdTech &amp; HR Solutions JSC</dc:creator>
</cp:coreProperties>
</file>