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HR Leave Policy — FourAngryBirds EdTech &amp; HR Solutions JSC</w:t>
      </w:r>
    </w:p>
    <w:p>
      <w:r>
        <w:rPr>
          <w:b/>
        </w:rPr>
        <w:t xml:space="preserve">Version 1.0 — Effective 2026-01-01</w:t>
      </w:r>
    </w:p>
    <w:p>
      <w:pPr>
        <w:pStyle w:val="Heading2"/>
      </w:pPr>
      <w:r>
        <w:t xml:space="preserve">1. Purpose &amp; Scope</w:t>
      </w:r>
    </w:p>
    <w:p>
      <w:r>
        <w:t xml:space="preserve">This policy defines annual leave, sick leave, and parental leave entitlements for all employees. It works together with the Employee Handbook (</w:t>
      </w:r>
      <w:r>
        <w:rPr>
          <w:b/>
        </w:rPr>
        <w:t xml:space="preserve">DOC-01</w:t>
      </w:r>
      <w:r>
        <w:t xml:space="preserve">), which governs carryover rules.</w:t>
      </w:r>
    </w:p>
    <w:p>
      <w:pPr>
        <w:pStyle w:val="Heading2"/>
      </w:pPr>
      <w:r>
        <w:t xml:space="preserve">2. Annual Leave Entitlement [MANDATORY — ALL ROLES]</w:t>
      </w:r>
    </w:p>
    <w:p>
      <w:r>
        <w:t xml:space="preserve">Standard entitlement is </w:t>
      </w:r>
      <w:r>
        <w:rPr>
          <w:b/>
        </w:rPr>
        <w:t xml:space="preserve">12 working days per year</w:t>
      </w:r>
      <w:r>
        <w:t xml:space="preserve">, accrued monthly (1 day/month).</w:t>
      </w:r>
    </w:p>
    <w:p>
      <w:pPr>
        <w:pStyle w:val="Heading3"/>
      </w:pPr>
      <w:r>
        <w:t xml:space="preserve">2.1 Role-Specific Variation [ROLE-SPECIFIC]</w:t>
      </w:r>
    </w:p>
    <w:p>
      <w:pPr>
        <w:pStyle w:val="ListParagraph"/>
      </w:pPr>
      <w:r>
        <w:t xml:space="preserve">â€¢ </w:t>
      </w:r>
      <w:r>
        <w:rPr>
          <w:b/>
        </w:rPr>
        <w:t xml:space="preserve">Team Leader / Tech Lead</w:t>
      </w:r>
      <w:r>
        <w:t xml:space="preserve">: 15 days/year (seniority allowance).</w:t>
      </w:r>
    </w:p>
    <w:p>
      <w:pPr>
        <w:pStyle w:val="ListParagraph"/>
      </w:pPr>
      <w:r>
        <w:t xml:space="preserve">â€¢ </w:t>
      </w:r>
      <w:r>
        <w:rPr>
          <w:b/>
        </w:rPr>
        <w:t xml:space="preserve">Branch Manager</w:t>
      </w:r>
      <w:r>
        <w:t xml:space="preserve">: 15 days/year (seniority allowance).</w:t>
      </w:r>
    </w:p>
    <w:p>
      <w:pPr>
        <w:pStyle w:val="ListParagraph"/>
      </w:pPr>
      <w:r>
        <w:t xml:space="preserve">â€¢ </w:t>
      </w:r>
      <w:r>
        <w:t xml:space="preserve">All other roles: standard 12 days/year.</w:t>
      </w:r>
    </w:p>
    <w:p>
      <w:pPr>
        <w:pStyle w:val="Heading2"/>
      </w:pPr>
      <w:r>
        <w:t xml:space="preserve">3. Sick Leave [MANDATORY]</w:t>
      </w:r>
    </w:p>
    <w:p>
      <w:r>
        <w:t xml:space="preserve">Employees are entitled to paid sick leave per Vietnamese Labor Code provisions. A medical certificate is </w:t>
      </w:r>
      <w:r>
        <w:rPr>
          <w:b/>
        </w:rPr>
        <w:t xml:space="preserve">required</w:t>
      </w:r>
      <w:r>
        <w:t xml:space="preserve"> for any sick leave exceeding 2 consecutive working days and must be submitted to HR within 3 business days of return.</w:t>
      </w:r>
    </w:p>
    <w:p>
      <w:pPr>
        <w:pStyle w:val="Heading2"/>
      </w:pPr>
      <w:r>
        <w:t xml:space="preserve">4. Maternity / Paternity Leave [MANDATORY — Compliance]</w:t>
      </w:r>
    </w:p>
    <w:p>
      <w:pPr>
        <w:pStyle w:val="ListParagraph"/>
      </w:pPr>
      <w:r>
        <w:t xml:space="preserve">â€¢ </w:t>
      </w:r>
      <w:r>
        <w:t xml:space="preserve">Maternity leave: 6 months, per Social Insurance Law.</w:t>
      </w:r>
    </w:p>
    <w:p>
      <w:pPr>
        <w:pStyle w:val="ListParagraph"/>
      </w:pPr>
      <w:r>
        <w:t xml:space="preserve">â€¢ </w:t>
      </w:r>
      <w:r>
        <w:t xml:space="preserve">Paternity leave: 5–14 working days depending on birth circumstances.</w:t>
      </w:r>
    </w:p>
    <w:p>
      <w:r>
        <w:t xml:space="preserve">HR Executive is responsible for verifying eligibility and filing social-insurance paperwork within statutory deadlines.</w:t>
      </w:r>
    </w:p>
    <w:p>
      <w:pPr>
        <w:pStyle w:val="Heading2"/>
      </w:pPr>
      <w:r>
        <w:t xml:space="preserve">5. Unpaid Leave Request [OPTIONAL / Conditional]</w:t>
      </w:r>
    </w:p>
    <w:p>
      <w:r>
        <w:t xml:space="preserve">Employees may request unpaid leave beyond their entitlement, subject to manager and HR Executive approval, on a case-by-case basis. Not applicable to probationary employees (first 60 days, see DOC-01 §3.2).</w:t>
      </w:r>
    </w:p>
    <w:p>
      <w:pPr>
        <w:pStyle w:val="Heading2"/>
      </w:pPr>
      <w:r>
        <w:t xml:space="preserve">6. Leave Approval Workflow</w:t>
      </w:r>
    </w:p>
    <w:p>
      <w:r>
        <w:t xml:space="preserve">1. Employee submits request via the HR portal. 2. Direct manager approves or rejects within 2 business days. 3. HR Executive records the approved leave and updates entitlement balance.</w:t>
      </w:r>
    </w:p>
    <w:p>
      <w:pPr>
        <w:pStyle w:val="Heading2"/>
      </w:pPr>
      <w:r>
        <w:t xml:space="preserve">7. Carryover &amp; Forfeiture</w:t>
      </w:r>
    </w:p>
    <w:p>
      <w:r>
        <w:t xml:space="preserve">Carryover of unused annual leave is governed by the </w:t>
      </w:r>
      <w:r>
        <w:rPr>
          <w:b/>
        </w:rPr>
        <w:t xml:space="preserve">current Employee Handbook (DOC-01 §6)</w:t>
      </w:r>
      <w:r>
        <w:t xml:space="preserve">. Do not rely on any prior handbook version for this rule — DOC-02 is obsolete and its leave-carryover clause has been superseded.</w:t>
      </w:r>
    </w:p>
    <w:p>
      <w:pPr>
        <w:pStyle w:val="Heading2"/>
      </w:pPr>
      <w:r>
        <w:t xml:space="preserve">8. Cross-References</w:t>
      </w:r>
    </w:p>
    <w:p>
      <w:pPr>
        <w:pStyle w:val="ListParagraph"/>
      </w:pPr>
      <w:r>
        <w:t xml:space="preserve">â€¢ </w:t>
      </w:r>
      <w:r>
        <w:t xml:space="preserve">Leave carryover authority: DOC-01 §6</w:t>
      </w:r>
    </w:p>
    <w:p>
      <w:pPr>
        <w:pStyle w:val="ListParagraph"/>
      </w:pPr>
      <w:r>
        <w:t xml:space="preserve">â€¢ </w:t>
      </w:r>
      <w:r>
        <w:t xml:space="preserve">Onboarding activation of leave balance: DOC-11 (Phase 2)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sz w:val="40"/>
      <w:color w:val="1A1A1A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sz w:val="30"/>
      <w:color w:val="1A1A1A"/>
    </w:rPr>
  </w:style>
  <w:style w:type="paragraph" w:styleId="Heading3">
    <w:name w:val="heading 3"/>
    <w:basedOn w:val="Normal"/>
    <w:qFormat/>
    <w:pPr>
      <w:spacing w:before="160" w:after="80"/>
      <w:outlineLvl w:val="2"/>
    </w:pPr>
    <w:rPr>
      <w:b/>
      <w:sz w:val="26"/>
    </w:rPr>
  </w:style>
  <w:style w:type="paragraph" w:styleId="Quote">
    <w:name w:val="Quote"/>
    <w:basedOn w:val="Normal"/>
    <w:qFormat/>
    <w:pPr>
      <w:ind w:left="284"/>
      <w:spacing w:before="80" w:after="80"/>
    </w:pPr>
    <w:rPr>
      <w:i/>
      <w:color w:val="555555"/>
    </w:rPr>
  </w:style>
  <w:style w:type="paragraph" w:styleId="ListParagraph">
    <w:name w:val="List Paragraph"/>
    <w:basedOn w:val="Normal"/>
    <w:qFormat/>
    <w:pPr>
      <w:ind w:left="284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SkillSprint AI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HR Leave Policy</dc:title>
  <dc:creator>FourAngryBirds EdTech &amp; HR Solutions JSC</dc:creator>
</cp:coreProperties>
</file>