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mpanyLine"/>
      </w:pPr>
      <w:r>
        <w:t>FourAngryBirds EdTech &amp; HR Solutions JSC</w:t>
      </w:r>
    </w:p>
    <w:p>
      <w:pPr>
        <w:pStyle w:val="Heading1"/>
      </w:pPr>
      <w:r>
        <w:t>Brand &amp; Content Guidelines</w:t>
      </w:r>
    </w:p>
    <w:tbl>
      <w:tblPr>
        <w:tblStyle w:val="TableGrid"/>
        <w:tblW w:type="auto" w:w="0"/>
        <w:tblLook w:firstColumn="1" w:firstRow="1" w:lastColumn="0" w:lastRow="0" w:noHBand="0" w:noVBand="1" w:val="04A0"/>
      </w:tblPr>
      <w:tblGrid>
        <w:gridCol w:w="4819"/>
        <w:gridCol w:w="4819"/>
      </w:tblGrid>
      <w:tr>
        <w:tc>
          <w:tcPr>
            <w:tcW w:type="dxa" w:w="4819"/>
          </w:tcPr>
          <w:p>
            <w:r>
              <w:t>Document ID</w:t>
            </w:r>
          </w:p>
        </w:tc>
        <w:tc>
          <w:tcPr>
            <w:tcW w:type="dxa" w:w="4819"/>
          </w:tcPr>
          <w:p>
            <w:r>
              <w:t>DOC-21</w:t>
            </w:r>
          </w:p>
        </w:tc>
      </w:tr>
      <w:tr>
        <w:tc>
          <w:tcPr>
            <w:tcW w:type="dxa" w:w="4819"/>
          </w:tcPr>
          <w:p>
            <w:r>
              <w:t>Vietnamese title</w:t>
            </w:r>
          </w:p>
        </w:tc>
        <w:tc>
          <w:tcPr>
            <w:tcW w:type="dxa" w:w="4819"/>
          </w:tcPr>
          <w:p>
            <w:r>
              <w:t>Hướng dẫn thương hiệu và nội dung</w:t>
            </w:r>
          </w:p>
        </w:tc>
      </w:tr>
      <w:tr>
        <w:tc>
          <w:tcPr>
            <w:tcW w:type="dxa" w:w="4819"/>
          </w:tcPr>
          <w:p>
            <w:r>
              <w:t>Category</w:t>
            </w:r>
          </w:p>
        </w:tc>
        <w:tc>
          <w:tcPr>
            <w:tcW w:type="dxa" w:w="4819"/>
          </w:tcPr>
          <w:p>
            <w:r>
              <w:t>Policy</w:t>
            </w:r>
          </w:p>
        </w:tc>
      </w:tr>
      <w:tr>
        <w:tc>
          <w:tcPr>
            <w:tcW w:type="dxa" w:w="4819"/>
          </w:tcPr>
          <w:p>
            <w:r>
              <w:t>Department</w:t>
            </w:r>
          </w:p>
        </w:tc>
        <w:tc>
          <w:tcPr>
            <w:tcW w:type="dxa" w:w="4819"/>
          </w:tcPr>
          <w:p>
            <w:r>
              <w:t>Marketing</w:t>
            </w:r>
          </w:p>
        </w:tc>
      </w:tr>
      <w:tr>
        <w:tc>
          <w:tcPr>
            <w:tcW w:type="dxa" w:w="4819"/>
          </w:tcPr>
          <w:p>
            <w:r>
              <w:t>Version</w:t>
            </w:r>
          </w:p>
        </w:tc>
        <w:tc>
          <w:tcPr>
            <w:tcW w:type="dxa" w:w="4819"/>
          </w:tcPr>
          <w:p>
            <w:r>
              <w:t>1.0</w:t>
            </w:r>
          </w:p>
        </w:tc>
      </w:tr>
      <w:tr>
        <w:tc>
          <w:tcPr>
            <w:tcW w:type="dxa" w:w="4819"/>
          </w:tcPr>
          <w:p>
            <w:r>
              <w:t>Status</w:t>
            </w:r>
          </w:p>
        </w:tc>
        <w:tc>
          <w:tcPr>
            <w:tcW w:type="dxa" w:w="4819"/>
          </w:tcPr>
          <w:p>
            <w:r>
              <w:t>Active</w:t>
            </w:r>
          </w:p>
        </w:tc>
      </w:tr>
      <w:tr>
        <w:tc>
          <w:tcPr>
            <w:tcW w:type="dxa" w:w="4819"/>
          </w:tcPr>
          <w:p>
            <w:r>
              <w:t>Effective date</w:t>
            </w:r>
          </w:p>
        </w:tc>
        <w:tc>
          <w:tcPr>
            <w:tcW w:type="dxa" w:w="4819"/>
          </w:tcPr>
          <w:p>
            <w:r>
              <w:t>2026-09-01</w:t>
            </w:r>
          </w:p>
        </w:tc>
      </w:tr>
      <w:tr>
        <w:tc>
          <w:tcPr>
            <w:tcW w:type="dxa" w:w="4819"/>
          </w:tcPr>
          <w:p>
            <w:r>
              <w:t>Owner</w:t>
            </w:r>
          </w:p>
        </w:tc>
        <w:tc>
          <w:tcPr>
            <w:tcW w:type="dxa" w:w="4819"/>
          </w:tcPr>
          <w:p>
            <w:r>
              <w:t>Head of Sales &amp; Marketing</w:t>
            </w:r>
          </w:p>
        </w:tc>
      </w:tr>
    </w:tbl>
    <w:p/>
    <w:p>
      <w:pPr>
        <w:pStyle w:val="Heading2"/>
      </w:pPr>
      <w:r>
        <w:t>1. Purpose</w:t>
      </w:r>
    </w:p>
    <w:p>
      <w:r>
        <w:rPr>
          <w:b w:val="0"/>
        </w:rPr>
        <w:t>These guidelines describe how the Company presents itself in every external asset: website pages, articles, social media posts, emails, slides, brochures and event materials. They expand the brand rules of DOC-13 §4.4 and the claims rule of DOC-13 §4.5 into practical instructions. The campaign process that uses these assets is described in DOC-22.</w:t>
      </w:r>
    </w:p>
    <w:p>
      <w:pPr>
        <w:pStyle w:val="Heading2"/>
      </w:pPr>
      <w:r>
        <w:t>2. Scope</w:t>
      </w:r>
    </w:p>
    <w:p>
      <w:r>
        <w:rPr>
          <w:b w:val="0"/>
        </w:rPr>
        <w:t>The guidelines apply to every employee and every agency or freelancer who produces content in the Company's name. Internal documents such as policies and SOPs follow the document template of the Company and are not covered, except for Section 8 (Accessibility), which applies to all published content.</w:t>
      </w:r>
    </w:p>
    <w:p>
      <w:pPr>
        <w:pStyle w:val="Heading2"/>
      </w:pPr>
      <w:r>
        <w:t>3. Brand Identity [MANDATORY]</w:t>
      </w:r>
    </w:p>
    <w:p>
      <w:pPr>
        <w:pStyle w:val="Heading3"/>
      </w:pPr>
      <w:r>
        <w:t>3.1 Company Name and Product Names</w:t>
      </w:r>
    </w:p>
    <w:p>
      <w:pPr>
        <w:pStyle w:val="ListBullet"/>
      </w:pPr>
      <w:r>
        <w:rPr>
          <w:b w:val="0"/>
        </w:rPr>
        <w:t>The Company name "FourAngryBirds EdTech &amp; HR Solutions" is used in full at least once in every external asset (DOC-13 §4.4). After the first use, "FourAngryBirds" may be used alone.</w:t>
      </w:r>
    </w:p>
    <w:p>
      <w:pPr>
        <w:pStyle w:val="ListBullet"/>
      </w:pPr>
      <w:r>
        <w:rPr>
          <w:b w:val="0"/>
        </w:rPr>
        <w:t>The legal name "FourAngryBirds EdTech &amp; HR Solutions JSC" is used in contracts, invoices and the footer of emails.</w:t>
      </w:r>
    </w:p>
    <w:p>
      <w:pPr>
        <w:pStyle w:val="ListBullet"/>
      </w:pPr>
      <w:r>
        <w:rPr>
          <w:b w:val="0"/>
        </w:rPr>
        <w:t>The product name "SkillSprint AI" is written as two words with a capital S in both and "AI" in capitals. It is never shortened to "SSAI" in external content.</w:t>
      </w:r>
    </w:p>
    <w:p>
      <w:pPr>
        <w:pStyle w:val="ListBullet"/>
      </w:pPr>
      <w:r>
        <w:rPr>
          <w:b w:val="0"/>
        </w:rPr>
        <w:t>The Company name is not translated. Vietnamese content uses the same name.</w:t>
      </w:r>
    </w:p>
    <w:p>
      <w:pPr>
        <w:pStyle w:val="Heading3"/>
      </w:pPr>
      <w:r>
        <w:t>3.2 Logo and Colour Use</w:t>
      </w:r>
    </w:p>
    <w:p>
      <w:pPr>
        <w:pStyle w:val="ListBullet"/>
      </w:pPr>
      <w:r>
        <w:rPr>
          <w:b w:val="0"/>
        </w:rPr>
        <w:t>Only the logo files from the brand kit in the Marketing shared drive may be used. The logo is not redrawn, stretched, rotated or recoloured.</w:t>
      </w:r>
    </w:p>
    <w:p>
      <w:pPr>
        <w:pStyle w:val="ListBullet"/>
      </w:pPr>
      <w:r>
        <w:rPr>
          <w:b w:val="0"/>
        </w:rPr>
        <w:t>The logo keeps a clear space around it equal to the height of the letter "F" in the logo.</w:t>
      </w:r>
    </w:p>
    <w:p>
      <w:pPr>
        <w:pStyle w:val="ListBullet"/>
      </w:pPr>
      <w:r>
        <w:rPr>
          <w:b w:val="0"/>
        </w:rPr>
        <w:t>The primary colours are Company purple and white. Accent colours from the brand kit are used for charts and highlights only.</w:t>
      </w:r>
    </w:p>
    <w:p>
      <w:pPr>
        <w:pStyle w:val="ListBullet"/>
      </w:pPr>
      <w:r>
        <w:rPr>
          <w:b w:val="0"/>
        </w:rPr>
        <w:t>Text placed on a coloured background must meet the contrast requirement of Section 8.</w:t>
      </w:r>
    </w:p>
    <w:p>
      <w:pPr>
        <w:pStyle w:val="Heading3"/>
      </w:pPr>
      <w:r>
        <w:t>3.3 Typography and Layout</w:t>
      </w:r>
    </w:p>
    <w:p>
      <w:pPr>
        <w:pStyle w:val="ListBullet"/>
      </w:pPr>
      <w:r>
        <w:rPr>
          <w:b w:val="0"/>
        </w:rPr>
        <w:t>Web and slide content uses the brand typeface from the brand kit; documents sent as files use Arial when the brand typeface is not available.</w:t>
      </w:r>
    </w:p>
    <w:p>
      <w:pPr>
        <w:pStyle w:val="ListBullet"/>
      </w:pPr>
      <w:r>
        <w:rPr>
          <w:b w:val="0"/>
        </w:rPr>
        <w:t>Headings use sentence case: only the first word and proper names start with a capital letter.</w:t>
      </w:r>
    </w:p>
    <w:p>
      <w:pPr>
        <w:pStyle w:val="ListBullet"/>
      </w:pPr>
      <w:r>
        <w:rPr>
          <w:b w:val="0"/>
        </w:rPr>
        <w:t>One idea per slide and one main message per social post.</w:t>
      </w:r>
    </w:p>
    <w:p>
      <w:pPr>
        <w:pStyle w:val="Heading2"/>
      </w:pPr>
      <w:r>
        <w:t>4. Writing Style</w:t>
      </w:r>
    </w:p>
    <w:p>
      <w:pPr>
        <w:pStyle w:val="Heading3"/>
      </w:pPr>
      <w:r>
        <w:t>4.1 Voice and Tone</w:t>
      </w:r>
    </w:p>
    <w:p>
      <w:r>
        <w:rPr>
          <w:b w:val="0"/>
        </w:rPr>
        <w:t>The Company writes in a clear, direct and helpful voice. Content explains what a product does and how it helps the reader, using concrete facts. Superlatives such as "the best", "revolutionary" or "world-class" are not used. Short sentences and common words are preferred over technical terms; when a technical term is needed, it is explained the first time it appears.</w:t>
      </w:r>
    </w:p>
    <w:p>
      <w:pPr>
        <w:pStyle w:val="Heading3"/>
      </w:pPr>
      <w:r>
        <w:t>4.2 Vietnamese and English Versions</w:t>
      </w:r>
    </w:p>
    <w:p>
      <w:pPr>
        <w:pStyle w:val="ListBullet"/>
      </w:pPr>
      <w:r>
        <w:rPr>
          <w:b w:val="0"/>
        </w:rPr>
        <w:t>Content for the Vietnamese market is written in Vietnamese first; English versions are adapted, not translated word by word.</w:t>
      </w:r>
    </w:p>
    <w:p>
      <w:pPr>
        <w:pStyle w:val="ListBullet"/>
      </w:pPr>
      <w:r>
        <w:rPr>
          <w:b w:val="0"/>
        </w:rPr>
        <w:t>Both versions carry the same facts, prices and dates. When one version is corrected, the other is corrected the same day.</w:t>
      </w:r>
    </w:p>
    <w:p>
      <w:pPr>
        <w:pStyle w:val="ListBullet"/>
      </w:pPr>
      <w:r>
        <w:rPr>
          <w:b w:val="0"/>
        </w:rPr>
        <w:t>Product screenshots show the interface in the language of the content.</w:t>
      </w:r>
    </w:p>
    <w:p>
      <w:pPr>
        <w:pStyle w:val="Heading3"/>
      </w:pPr>
      <w:r>
        <w:t>4.3 Formatting Rules</w:t>
      </w:r>
    </w:p>
    <w:p>
      <w:pPr>
        <w:pStyle w:val="ListBullet"/>
      </w:pPr>
      <w:r>
        <w:rPr>
          <w:b w:val="0"/>
        </w:rPr>
        <w:t>Dates are written as day month year in English ("1 September 2026") and as "01/09/2026" in Vietnamese.</w:t>
      </w:r>
    </w:p>
    <w:p>
      <w:pPr>
        <w:pStyle w:val="ListBullet"/>
      </w:pPr>
      <w:r>
        <w:rPr>
          <w:b w:val="0"/>
        </w:rPr>
        <w:t>Amounts in Vietnamese dong use a comma as the thousands separator in English ("5,000,000 VND") and a dot in Vietnamese ("5.000.000 đồng").</w:t>
      </w:r>
    </w:p>
    <w:p>
      <w:pPr>
        <w:pStyle w:val="ListBullet"/>
      </w:pPr>
      <w:r>
        <w:rPr>
          <w:b w:val="0"/>
        </w:rPr>
        <w:t>Emoji are not used in headings, email subject lines or advertising text.</w:t>
      </w:r>
    </w:p>
    <w:p>
      <w:pPr>
        <w:pStyle w:val="Heading2"/>
      </w:pPr>
      <w:r>
        <w:t>5. Content Types and Owners</w:t>
      </w:r>
    </w:p>
    <w:p>
      <w:pPr>
        <w:pStyle w:val="Heading3"/>
      </w:pPr>
      <w:r>
        <w:t>5.1 Website Pages</w:t>
      </w:r>
    </w:p>
    <w:p>
      <w:r>
        <w:rPr>
          <w:b w:val="0"/>
        </w:rPr>
        <w:t>Product pages are owned by the Marketing Executive and maintained with the Engineering team (DOC-13 §4.2). Content changes to existing pages may be published by the Marketing Executive without further approval (DOC-13 §4.6). New pages and changes to prices go through the approval workflow of DOC-22 §4.</w:t>
      </w:r>
    </w:p>
    <w:p>
      <w:pPr>
        <w:pStyle w:val="Heading3"/>
      </w:pPr>
      <w:r>
        <w:t>5.2 Articles and Guides</w:t>
      </w:r>
    </w:p>
    <w:p>
      <w:r>
        <w:rPr>
          <w:b w:val="0"/>
        </w:rPr>
        <w:t>Articles for the resources section must be useful to an HR or training manager without buying the product. Each article names its author and the date it was last reviewed. Articles are reviewed every 12 months and updated or removed when the facts have changed.</w:t>
      </w:r>
    </w:p>
    <w:p>
      <w:pPr>
        <w:pStyle w:val="Heading3"/>
      </w:pPr>
      <w:r>
        <w:t>5.3 Social Media Posts</w:t>
      </w:r>
    </w:p>
    <w:p>
      <w:r>
        <w:rPr>
          <w:b w:val="0"/>
        </w:rPr>
        <w:t>Posts are published only from the Company accounts. Employees may share Company posts from their own accounts but do not post on behalf of the Company. Replies to complaints on social media are limited to an acknowledgement and an invitation to contact Customer Support; the complaint is then handled through DOC-07.</w:t>
      </w:r>
    </w:p>
    <w:p>
      <w:pPr>
        <w:pStyle w:val="Heading3"/>
      </w:pPr>
      <w:r>
        <w:t>5.4 Email Newsletters</w:t>
      </w:r>
    </w:p>
    <w:p>
      <w:r>
        <w:rPr>
          <w:b w:val="0"/>
        </w:rPr>
        <w:t>Newsletters follow the email rules of DOC-22 §6.2: Company name in full, unsubscribe link, postal address and a test send before every mailing.</w:t>
      </w:r>
    </w:p>
    <w:p>
      <w:pPr>
        <w:pStyle w:val="Heading2"/>
      </w:pPr>
      <w:r>
        <w:t>6. Claims, Statistics and Testimonials [MANDATORY]</w:t>
      </w:r>
    </w:p>
    <w:p>
      <w:pPr>
        <w:pStyle w:val="ListBullet"/>
      </w:pPr>
      <w:r>
        <w:rPr>
          <w:b w:val="0"/>
        </w:rPr>
        <w:t>A statement about results is published only when the Company can prove it. Guaranteed outcomes, such as guaranteed hiring or a fixed percentage improvement, are never promised (DOC-13 §4.5).</w:t>
      </w:r>
    </w:p>
    <w:p>
      <w:pPr>
        <w:pStyle w:val="ListBullet"/>
      </w:pPr>
      <w:r>
        <w:rPr>
          <w:b w:val="0"/>
        </w:rPr>
        <w:t>Every statistic in an external asset has a documented internal source, stored with the campaign brief (DOC-13 §4.5, DOC-22 §4). Statistics produced by the Data team use the definitions of DOC-26 and state the period they cover.</w:t>
      </w:r>
    </w:p>
    <w:p>
      <w:pPr>
        <w:pStyle w:val="ListBullet"/>
      </w:pPr>
      <w:r>
        <w:rPr>
          <w:b w:val="0"/>
        </w:rPr>
        <w:t>Customer names, logos and quotes are published only with the customer's written permission (DOC-13 §4.4). The permission is stored in the CRM with the customer record.</w:t>
      </w:r>
    </w:p>
    <w:p>
      <w:pPr>
        <w:pStyle w:val="ListBullet"/>
      </w:pPr>
      <w:r>
        <w:rPr>
          <w:b w:val="0"/>
        </w:rPr>
        <w:t>A customer quote is published as the customer approved it. Shortening a quote needs a new approval.</w:t>
      </w:r>
    </w:p>
    <w:p>
      <w:pPr>
        <w:pStyle w:val="ListBullet"/>
      </w:pPr>
      <w:r>
        <w:rPr>
          <w:b w:val="0"/>
        </w:rPr>
        <w:t>Learner results are only published as aggregated figures. Names, photos or scores of individual learners are never published (DOC-05 §3).</w:t>
      </w:r>
    </w:p>
    <w:p>
      <w:pPr>
        <w:pStyle w:val="Heading2"/>
      </w:pPr>
      <w:r>
        <w:t>7. Images, Video and Third-Party Material</w:t>
      </w:r>
    </w:p>
    <w:p>
      <w:pPr>
        <w:pStyle w:val="ListBullet"/>
      </w:pPr>
      <w:r>
        <w:rPr>
          <w:b w:val="0"/>
        </w:rPr>
        <w:t>Stock images are used only from the Company's licensed image library.</w:t>
      </w:r>
    </w:p>
    <w:p>
      <w:pPr>
        <w:pStyle w:val="ListBullet"/>
      </w:pPr>
      <w:r>
        <w:rPr>
          <w:b w:val="0"/>
        </w:rPr>
        <w:t>Photos of employees are published with the employee's consent, recorded by Marketing.</w:t>
      </w:r>
    </w:p>
    <w:p>
      <w:pPr>
        <w:pStyle w:val="ListBullet"/>
      </w:pPr>
      <w:r>
        <w:rPr>
          <w:b w:val="0"/>
        </w:rPr>
        <w:t>Photos taken at partner schools follow DOC-23 §7: only with the school's written consent for that session.</w:t>
      </w:r>
    </w:p>
    <w:p>
      <w:pPr>
        <w:pStyle w:val="ListBullet"/>
      </w:pPr>
      <w:r>
        <w:rPr>
          <w:b w:val="0"/>
        </w:rPr>
        <w:t>Music, fonts and icons from third parties are used only under a licence that allows commercial use.</w:t>
      </w:r>
    </w:p>
    <w:p>
      <w:pPr>
        <w:pStyle w:val="ListBullet"/>
      </w:pPr>
      <w:r>
        <w:rPr>
          <w:b w:val="0"/>
        </w:rPr>
        <w:t>Videos include subtitles in the language of the video.</w:t>
      </w:r>
    </w:p>
    <w:p>
      <w:pPr>
        <w:pStyle w:val="Heading2"/>
      </w:pPr>
      <w:r>
        <w:t>8. Accessibility [MANDATORY]</w:t>
      </w:r>
    </w:p>
    <w:p>
      <w:pPr>
        <w:pStyle w:val="ListBullet"/>
      </w:pPr>
      <w:r>
        <w:rPr>
          <w:b w:val="0"/>
        </w:rPr>
        <w:t>Text contrast meets a ratio of at least 4.5 to 1 against its background.</w:t>
      </w:r>
    </w:p>
    <w:p>
      <w:pPr>
        <w:pStyle w:val="ListBullet"/>
      </w:pPr>
      <w:r>
        <w:rPr>
          <w:b w:val="0"/>
        </w:rPr>
        <w:t>Every image that carries information has alternative text. Decorative images have empty alternative text.</w:t>
      </w:r>
    </w:p>
    <w:p>
      <w:pPr>
        <w:pStyle w:val="ListBullet"/>
      </w:pPr>
      <w:r>
        <w:rPr>
          <w:b w:val="0"/>
        </w:rPr>
        <w:t>Links describe their destination; "click here" is not used as link text.</w:t>
      </w:r>
    </w:p>
    <w:p>
      <w:pPr>
        <w:pStyle w:val="ListBullet"/>
      </w:pPr>
      <w:r>
        <w:rPr>
          <w:b w:val="0"/>
        </w:rPr>
        <w:t>Information is not given by colour alone; charts also use labels or patterns.</w:t>
      </w:r>
    </w:p>
    <w:p>
      <w:pPr>
        <w:pStyle w:val="Heading2"/>
      </w:pPr>
      <w:r>
        <w:t>9. Review and Publication Workflow</w:t>
      </w:r>
    </w:p>
    <w:p>
      <w:pPr>
        <w:pStyle w:val="ListBullet"/>
      </w:pPr>
      <w:r>
        <w:rPr>
          <w:b w:val="0"/>
        </w:rPr>
        <w:t>The author checks the asset against this document using the brand checklist in the Marketing shared drive.</w:t>
      </w:r>
    </w:p>
    <w:p>
      <w:pPr>
        <w:pStyle w:val="ListBullet"/>
      </w:pPr>
      <w:r>
        <w:rPr>
          <w:b w:val="0"/>
        </w:rPr>
        <w:t>A second person from Marketing reviews the asset. The reviewer checks facts, prices, dates and the permissions of Section 6.</w:t>
      </w:r>
    </w:p>
    <w:p>
      <w:pPr>
        <w:pStyle w:val="ListBullet"/>
      </w:pPr>
      <w:r>
        <w:rPr>
          <w:b w:val="0"/>
        </w:rPr>
        <w:t>Assets that are part of a campaign are approved through DOC-22 §4 before publication.</w:t>
      </w:r>
    </w:p>
    <w:p>
      <w:pPr>
        <w:pStyle w:val="ListBullet"/>
      </w:pPr>
      <w:r>
        <w:rPr>
          <w:b w:val="0"/>
        </w:rPr>
        <w:t>The published version is saved in the asset library with its approval record.</w:t>
      </w:r>
    </w:p>
    <w:p>
      <w:pPr>
        <w:pStyle w:val="Heading2"/>
      </w:pPr>
      <w:r>
        <w:t>10. Record Keeping</w:t>
      </w:r>
    </w:p>
    <w:p>
      <w:r>
        <w:rPr>
          <w:b w:val="0"/>
        </w:rPr>
        <w:t>The asset library keeps the final version of every external asset for 3 years after it was last published, together with its approval record, the sources of its statistics and the permissions for customer names, quotes and photos. Assets that contain personal data follow the retention rules of DOC-05 §5.</w:t>
      </w:r>
    </w:p>
    <w:p>
      <w:pPr>
        <w:pStyle w:val="Heading2"/>
      </w:pPr>
      <w:r>
        <w:t>11. Optional Practice [OPTIONAL]</w:t>
      </w:r>
    </w:p>
    <w:p>
      <w:r>
        <w:rPr>
          <w:b w:val="0"/>
        </w:rPr>
        <w:t>Authors are encouraged to test important headlines with two or three colleagues from other departments before publication.</w:t>
      </w:r>
    </w:p>
    <w:p>
      <w:pPr>
        <w:pStyle w:val="Heading2"/>
      </w:pPr>
      <w:r>
        <w:t>12. Cross-References</w:t>
      </w:r>
    </w:p>
    <w:p>
      <w:pPr>
        <w:pStyle w:val="ListBullet"/>
      </w:pPr>
      <w:r>
        <w:rPr>
          <w:b w:val="0"/>
        </w:rPr>
        <w:t>Marketing Executive role, brand rules and claims: DOC-13 §4.2–§4.6</w:t>
      </w:r>
    </w:p>
    <w:p>
      <w:pPr>
        <w:pStyle w:val="ListBullet"/>
      </w:pPr>
      <w:r>
        <w:rPr>
          <w:b w:val="0"/>
        </w:rPr>
        <w:t>Campaign approval and email rules: DOC-22 §4, §6.2</w:t>
      </w:r>
    </w:p>
    <w:p>
      <w:pPr>
        <w:pStyle w:val="ListBullet"/>
      </w:pPr>
      <w:r>
        <w:rPr>
          <w:b w:val="0"/>
        </w:rPr>
        <w:t>Consent and retention of personal data: DOC-05 §3, §5</w:t>
      </w:r>
    </w:p>
    <w:p>
      <w:pPr>
        <w:pStyle w:val="ListBullet"/>
      </w:pPr>
      <w:r>
        <w:rPr>
          <w:b w:val="0"/>
        </w:rPr>
        <w:t>Customer complaints: DOC-07</w:t>
      </w:r>
    </w:p>
    <w:p>
      <w:pPr>
        <w:pStyle w:val="ListBullet"/>
      </w:pPr>
      <w:r>
        <w:rPr>
          <w:b w:val="0"/>
        </w:rPr>
        <w:t>Photos at partner schools: DOC-23 §7</w:t>
      </w:r>
    </w:p>
    <w:p>
      <w:pPr>
        <w:pStyle w:val="ListBullet"/>
      </w:pPr>
      <w:r>
        <w:rPr>
          <w:b w:val="0"/>
        </w:rPr>
        <w:t>Metric definitions: DOC-26</w:t>
      </w:r>
    </w:p>
    <w:sectPr w:rsidR="00FC693F" w:rsidRPr="0006063C" w:rsidSect="00034616">
      <w:pgSz w:w="11906" w:h="16838"/>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12E8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12E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12E8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nyLine">
    <w:name w:val="Company Line"/>
    <w:basedOn w:val="Normal"/>
    <w:rPr>
      <w:color w:val="6D28D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